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ackground w:color="ffffff"/>
  <w:body>
    <w:p w14:paraId="C71EBC39">
      <w:pPr>
        <w:pStyle w:val="style0"/>
        <w:spacing w:lineRule="auto" w:line="360"/>
        <w:jc w:val="center"/>
        <w:rPr>
          <w:rFonts w:ascii="仿宋" w:cs="仿宋_GB2312" w:eastAsia="仿宋" w:hAnsi="仿宋"/>
          <w:sz w:val="32"/>
          <w:szCs w:val="32"/>
        </w:rPr>
      </w:pPr>
      <w:bookmarkStart w:id="0" w:name="OLE_LINK2"/>
    </w:p>
    <w:bookmarkStart w:id="1" w:name="OLE_LINK3"/>
    <w:p w14:paraId="AC9ACC45">
      <w:pPr>
        <w:pStyle w:val="style0"/>
        <w:spacing w:lineRule="auto" w:line="360"/>
        <w:jc w:val="center"/>
        <w:rPr>
          <w:rFonts w:ascii="仿宋" w:cs="仿宋_GB2312" w:eastAsia="仿宋" w:hAnsi="仿宋"/>
          <w:sz w:val="44"/>
          <w:szCs w:val="32"/>
        </w:rPr>
      </w:pPr>
      <w:r>
        <w:rPr>
          <w:rFonts w:ascii="仿宋" w:cs="仿宋_GB2312" w:eastAsia="仿宋" w:hAnsi="仿宋" w:hint="eastAsia"/>
          <w:sz w:val="44"/>
          <w:szCs w:val="32"/>
        </w:rPr>
        <w:t>济南市公共体育设施专项规划</w:t>
      </w:r>
    </w:p>
    <w:p w14:paraId="33D4496A">
      <w:pPr>
        <w:pStyle w:val="style0"/>
        <w:spacing w:lineRule="auto" w:line="360"/>
        <w:jc w:val="center"/>
        <w:rPr>
          <w:rFonts w:ascii="仿宋" w:cs="仿宋_GB2312" w:eastAsia="仿宋" w:hAnsi="仿宋"/>
          <w:sz w:val="44"/>
          <w:szCs w:val="32"/>
        </w:rPr>
      </w:pPr>
      <w:r>
        <w:rPr>
          <w:rFonts w:ascii="仿宋" w:cs="仿宋_GB2312" w:eastAsia="仿宋" w:hAnsi="仿宋" w:hint="eastAsia"/>
          <w:sz w:val="44"/>
          <w:szCs w:val="32"/>
        </w:rPr>
        <w:t>（2</w:t>
      </w:r>
      <w:r>
        <w:rPr>
          <w:rFonts w:ascii="仿宋" w:cs="仿宋_GB2312" w:eastAsia="仿宋" w:hAnsi="仿宋"/>
          <w:sz w:val="44"/>
          <w:szCs w:val="32"/>
        </w:rPr>
        <w:t>025-2035</w:t>
      </w:r>
      <w:r>
        <w:rPr>
          <w:rFonts w:ascii="仿宋" w:cs="仿宋_GB2312" w:eastAsia="仿宋" w:hAnsi="仿宋" w:hint="eastAsia"/>
          <w:sz w:val="44"/>
          <w:szCs w:val="32"/>
        </w:rPr>
        <w:t>年）</w:t>
      </w:r>
    </w:p>
    <w:bookmarkEnd w:id="0"/>
    <w:bookmarkEnd w:id="1"/>
    <w:p w14:paraId="1468999F">
      <w:pPr>
        <w:pStyle w:val="style0"/>
        <w:spacing w:lineRule="auto" w:line="360"/>
        <w:jc w:val="center"/>
        <w:rPr>
          <w:rFonts w:ascii="仿宋" w:cs="仿宋_GB2312" w:eastAsia="仿宋" w:hAnsi="仿宋" w:hint="eastAsia"/>
          <w:sz w:val="44"/>
          <w:szCs w:val="32"/>
        </w:rPr>
      </w:pPr>
    </w:p>
    <w:p w14:paraId="0522E47A">
      <w:pPr>
        <w:pStyle w:val="style0"/>
        <w:spacing w:lineRule="auto" w:line="360"/>
        <w:jc w:val="center"/>
        <w:rPr>
          <w:rFonts w:ascii="仿宋" w:cs="仿宋_GB2312" w:eastAsia="仿宋" w:hAnsi="仿宋"/>
          <w:sz w:val="36"/>
          <w:szCs w:val="32"/>
        </w:rPr>
      </w:pPr>
    </w:p>
    <w:p w14:paraId="0003AB45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F9AB66AE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D85DFE88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F8D20533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A9A24BD7">
      <w:pPr>
        <w:pStyle w:val="style0"/>
        <w:spacing w:lineRule="auto" w:line="360"/>
        <w:jc w:val="center"/>
        <w:rPr>
          <w:rFonts w:ascii="仿宋" w:eastAsia="仿宋" w:hAnsi="仿宋" w:hint="eastAsia"/>
          <w:b/>
          <w:bCs/>
          <w:sz w:val="32"/>
          <w:szCs w:val="32"/>
        </w:rPr>
      </w:pPr>
    </w:p>
    <w:p w14:paraId="69EE94EF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C1CB4258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45B586A1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9B15F524">
      <w:pPr>
        <w:pStyle w:val="style0"/>
        <w:spacing w:lineRule="auto" w:line="360"/>
        <w:jc w:val="center"/>
        <w:rPr>
          <w:rFonts w:ascii="仿宋" w:eastAsia="仿宋" w:hAnsi="仿宋" w:hint="eastAsia"/>
          <w:b/>
          <w:bCs/>
          <w:sz w:val="32"/>
          <w:szCs w:val="32"/>
        </w:rPr>
      </w:pPr>
    </w:p>
    <w:p w14:paraId="5B21E3A8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FC7D2B06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4701D3F2">
      <w:pPr>
        <w:pStyle w:val="style0"/>
        <w:spacing w:lineRule="auto" w:line="360"/>
        <w:jc w:val="center"/>
        <w:rPr>
          <w:rFonts w:ascii="仿宋" w:eastAsia="仿宋" w:hAnsi="仿宋"/>
          <w:b/>
          <w:bCs/>
          <w:sz w:val="32"/>
          <w:szCs w:val="32"/>
        </w:rPr>
      </w:pPr>
    </w:p>
    <w:p w14:paraId="22D6914C">
      <w:pPr>
        <w:pStyle w:val="style0"/>
        <w:spacing w:lineRule="auto" w:line="360"/>
        <w:jc w:val="center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济南市体育局</w:t>
      </w:r>
    </w:p>
    <w:p w14:paraId="EB878C09">
      <w:pPr>
        <w:pStyle w:val="style0"/>
        <w:spacing w:lineRule="auto" w:line="360"/>
        <w:jc w:val="center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</w:t>
      </w:r>
      <w:r>
        <w:rPr>
          <w:rFonts w:ascii="仿宋" w:eastAsia="仿宋" w:hAnsi="仿宋"/>
          <w:bCs/>
          <w:sz w:val="32"/>
          <w:szCs w:val="32"/>
        </w:rPr>
        <w:t>025</w:t>
      </w:r>
      <w:r>
        <w:rPr>
          <w:rFonts w:ascii="仿宋" w:eastAsia="仿宋" w:hAnsi="仿宋" w:hint="eastAsia"/>
          <w:bCs/>
          <w:sz w:val="32"/>
          <w:szCs w:val="32"/>
        </w:rPr>
        <w:t>年</w:t>
      </w:r>
      <w:r>
        <w:rPr>
          <w:rFonts w:ascii="仿宋" w:eastAsia="仿宋" w:hAnsi="仿宋"/>
          <w:bCs/>
          <w:sz w:val="32"/>
          <w:szCs w:val="32"/>
        </w:rPr>
        <w:t>5</w:t>
      </w:r>
      <w:r>
        <w:rPr>
          <w:rFonts w:ascii="仿宋" w:eastAsia="仿宋" w:hAnsi="仿宋" w:hint="eastAsia"/>
          <w:bCs/>
          <w:sz w:val="32"/>
          <w:szCs w:val="32"/>
        </w:rPr>
        <w:t>月</w:t>
      </w:r>
    </w:p>
    <w:p w14:paraId="E4B3557B">
      <w:pPr>
        <w:pStyle w:val="style0"/>
        <w:tabs>
          <w:tab w:val="left" w:leader="none" w:pos="4960"/>
          <w:tab w:val="left" w:leader="none" w:pos="6877"/>
          <w:tab w:val="left" w:leader="none" w:pos="7176"/>
        </w:tabs>
        <w:spacing w:lineRule="auto" w:line="360"/>
        <w:rPr>
          <w:rFonts w:ascii="仿宋" w:eastAsia="仿宋" w:hAnsi="仿宋" w:hint="eastAsia"/>
          <w:b/>
          <w:bCs/>
          <w:sz w:val="32"/>
          <w:szCs w:val="32"/>
        </w:rPr>
        <w:sectPr>
          <w:headerReference w:type="default" r:id="rId2"/>
          <w:footerReference w:type="even" r:id="rId3"/>
          <w:footerReference w:type="default" r:id="rId4"/>
          <w:headerReference w:type="first" r:id="rId5"/>
          <w:footerReference w:type="first" r:id="rId6"/>
          <w:pgSz w:w="11900" w:h="16840" w:orient="portrait"/>
          <w:pgMar w:top="1440" w:right="1440" w:bottom="2041" w:left="1440" w:header="851" w:footer="992" w:gutter="0"/>
          <w:pgNumType w:start="1"/>
          <w:cols w:space="720" w:num="1"/>
          <w:docGrid w:type="linesAndChars" w:linePitch="312" w:charSpace="45591"/>
        </w:sectPr>
      </w:pPr>
    </w:p>
    <w:p w14:paraId="4A70E592">
      <w:pPr>
        <w:pStyle w:val="style0"/>
        <w:tabs>
          <w:tab w:val="left" w:leader="none" w:pos="862"/>
          <w:tab w:val="left" w:leader="none" w:pos="1080"/>
          <w:tab w:val="left" w:leader="none" w:pos="144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一．指导思想</w:t>
      </w:r>
    </w:p>
    <w:p w14:paraId="B9330B6A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以习近平新时代中国特色社会主义思想为指导，深入贯彻党的二十大和二十届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二中、</w:t>
      </w:r>
      <w:r>
        <w:rPr>
          <w:rFonts w:ascii="仿宋_GB2312" w:cs="仿宋_GB2312" w:eastAsia="仿宋_GB2312" w:hAnsi="仿宋_GB2312" w:hint="eastAsia"/>
          <w:sz w:val="32"/>
          <w:szCs w:val="32"/>
        </w:rPr>
        <w:t>三中全会精神，落实体育强国战略总体要求，积极推进中国式现代化济南实践，助力“强新优富美高”新时代社会主义现代化强省会建设目标任务，实现</w:t>
      </w:r>
      <w:r>
        <w:rPr>
          <w:rFonts w:ascii="仿宋_GB2312" w:cs="仿宋_GB2312" w:eastAsia="仿宋_GB2312" w:hAnsi="仿宋_GB2312"/>
          <w:bCs/>
          <w:sz w:val="32"/>
          <w:szCs w:val="32"/>
        </w:rPr>
        <w:t>群众体育广泛普及</w:t>
      </w:r>
      <w:r>
        <w:rPr>
          <w:rFonts w:ascii="仿宋_GB2312" w:cs="仿宋_GB2312" w:eastAsia="仿宋_GB2312" w:hAnsi="仿宋_GB2312" w:hint="eastAsia"/>
          <w:bCs/>
          <w:sz w:val="32"/>
          <w:szCs w:val="32"/>
        </w:rPr>
        <w:t>，</w:t>
      </w:r>
      <w:r>
        <w:rPr>
          <w:rFonts w:ascii="仿宋_GB2312" w:cs="仿宋_GB2312" w:eastAsia="仿宋_GB2312" w:hAnsi="仿宋_GB2312"/>
          <w:bCs/>
          <w:sz w:val="32"/>
          <w:szCs w:val="32"/>
        </w:rPr>
        <w:t>竞技体育实力显著提升，</w:t>
      </w:r>
      <w:r>
        <w:rPr>
          <w:rFonts w:ascii="仿宋_GB2312" w:cs="仿宋_GB2312" w:eastAsia="仿宋_GB2312" w:hAnsi="仿宋_GB2312" w:hint="eastAsia"/>
          <w:sz w:val="32"/>
          <w:szCs w:val="32"/>
        </w:rPr>
        <w:t>公共体育设施服务体系健全完善。</w:t>
      </w:r>
    </w:p>
    <w:p w14:paraId="A680736D">
      <w:pPr>
        <w:pStyle w:val="style0"/>
        <w:tabs>
          <w:tab w:val="left" w:leader="none" w:pos="862"/>
          <w:tab w:val="left" w:leader="none" w:pos="1080"/>
          <w:tab w:val="left" w:leader="none" w:pos="144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二．规划范围和期限</w:t>
      </w:r>
    </w:p>
    <w:p w14:paraId="BC416D2E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规划范围：济南市域范围。包括历下区、市中区、槐荫区、天桥区、历城区、长清区、章丘区、济阳区、莱芜区、钢城区、平阴县、商河县、济南高新区、南部山区、起步区。</w:t>
      </w:r>
    </w:p>
    <w:p w14:paraId="A899C758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规划期限：规划期限为20</w:t>
      </w:r>
      <w:r>
        <w:rPr>
          <w:rFonts w:ascii="仿宋_GB2312" w:cs="仿宋_GB2312" w:eastAsia="仿宋_GB2312" w:hAnsi="仿宋_GB2312"/>
          <w:sz w:val="32"/>
          <w:szCs w:val="32"/>
        </w:rPr>
        <w:t>25</w:t>
      </w:r>
      <w:r>
        <w:rPr>
          <w:rFonts w:ascii="仿宋_GB2312" w:cs="仿宋_GB2312" w:eastAsia="仿宋_GB2312" w:hAnsi="仿宋_GB2312" w:hint="eastAsia"/>
          <w:sz w:val="32"/>
          <w:szCs w:val="32"/>
        </w:rPr>
        <w:t>-203</w:t>
      </w:r>
      <w:r>
        <w:rPr>
          <w:rFonts w:ascii="仿宋_GB2312" w:cs="仿宋_GB2312" w:eastAsia="仿宋_GB2312" w:hAnsi="仿宋_GB2312"/>
          <w:sz w:val="32"/>
          <w:szCs w:val="32"/>
        </w:rPr>
        <w:t>5</w:t>
      </w:r>
      <w:r>
        <w:rPr>
          <w:rFonts w:ascii="仿宋_GB2312" w:cs="仿宋_GB2312" w:eastAsia="仿宋_GB2312" w:hAnsi="仿宋_GB2312" w:hint="eastAsia"/>
          <w:sz w:val="32"/>
          <w:szCs w:val="32"/>
        </w:rPr>
        <w:t>年，近期至20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27</w:t>
      </w:r>
      <w:r>
        <w:rPr>
          <w:rFonts w:ascii="仿宋_GB2312" w:cs="仿宋_GB2312" w:eastAsia="仿宋_GB2312" w:hAnsi="仿宋_GB2312" w:hint="eastAsia"/>
          <w:sz w:val="32"/>
          <w:szCs w:val="32"/>
        </w:rPr>
        <w:t>年，远期至2</w:t>
      </w:r>
      <w:r>
        <w:rPr>
          <w:rFonts w:ascii="仿宋_GB2312" w:cs="仿宋_GB2312" w:eastAsia="仿宋_GB2312" w:hAnsi="仿宋_GB2312"/>
          <w:sz w:val="32"/>
          <w:szCs w:val="32"/>
        </w:rPr>
        <w:t>035</w:t>
      </w:r>
      <w:r>
        <w:rPr>
          <w:rFonts w:ascii="仿宋_GB2312" w:cs="仿宋_GB2312" w:eastAsia="仿宋_GB2312" w:hAnsi="仿宋_GB2312" w:hint="eastAsia"/>
          <w:sz w:val="32"/>
          <w:szCs w:val="32"/>
        </w:rPr>
        <w:t>年。</w:t>
      </w:r>
    </w:p>
    <w:p w14:paraId="DB55CFB1">
      <w:pPr>
        <w:pStyle w:val="style0"/>
        <w:tabs>
          <w:tab w:val="left" w:leader="none" w:pos="862"/>
          <w:tab w:val="left" w:leader="none" w:pos="1080"/>
          <w:tab w:val="left" w:leader="none" w:pos="143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三．规划对象</w:t>
      </w:r>
    </w:p>
    <w:p w14:paraId="D59B23FE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本次规划研究对象主要为公共体育设施。由政府投资、筹集或引导社会资金兴建，向大众开放的满足大众体育锻炼、观赏赛事以及运动员训练竞技需求的社会公益性体育活动场所。本次规划将采取体育用地和体育场地目标“双控”。</w:t>
      </w:r>
    </w:p>
    <w:p w14:paraId="2E4E7FF2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体育用地</w:t>
      </w:r>
      <w:r>
        <w:rPr>
          <w:rFonts w:ascii="仿宋_GB2312" w:cs="仿宋_GB2312" w:eastAsia="仿宋_GB2312" w:hAnsi="仿宋_GB2312"/>
          <w:sz w:val="32"/>
          <w:szCs w:val="32"/>
        </w:rPr>
        <w:t>:</w:t>
      </w:r>
      <w:r>
        <w:rPr>
          <w:rFonts w:ascii="仿宋_GB2312" w:cs="仿宋_GB2312" w:eastAsia="仿宋_GB2312" w:hAnsi="仿宋_GB2312" w:hint="eastAsia"/>
          <w:sz w:val="32"/>
          <w:szCs w:val="32"/>
        </w:rPr>
        <w:t xml:space="preserve"> 对象为公共体育设施用地。主要包括以下几类，</w:t>
      </w:r>
      <w:r>
        <w:rPr>
          <w:rFonts w:ascii="仿宋_GB2312" w:cs="仿宋_GB2312" w:eastAsia="仿宋_GB2312" w:hAnsi="仿宋_GB2312"/>
          <w:sz w:val="32"/>
          <w:szCs w:val="32"/>
        </w:rPr>
        <w:t>体育场馆用地</w:t>
      </w:r>
      <w:r>
        <w:rPr>
          <w:rFonts w:ascii="仿宋_GB2312" w:cs="仿宋_GB2312" w:eastAsia="仿宋_GB2312" w:hAnsi="仿宋_GB2312" w:hint="eastAsia"/>
          <w:sz w:val="32"/>
          <w:szCs w:val="32"/>
        </w:rPr>
        <w:t>：指室内外体育运动用地，包括体育场馆、游泳场馆、各类球场及其附属的业余体校等用地；体育训练用地：为体育运动专设的训练基地用地；康体用地：包括赛马场、高尔夫、溜冰场、跳伞场、摩托车场、射击场，以及通用航空、水上运动的陆域部分等用地；教育科研用地中的体育专业学校用地。</w:t>
      </w:r>
    </w:p>
    <w:p w14:paraId="CD72B970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体育场地：对象为全口径的体育场地。指可供训练、比赛、健身活动的场地有效面积，含各级各类体育设施的室外场地面积以及室内建筑面积，包括省市级场馆、区级场馆、街道级活动室及场地、社区级活动室及场地、健身步道、全民健身路径、学校场馆、社会企事业单位场馆等。</w:t>
      </w:r>
    </w:p>
    <w:p w14:paraId="1332DADF">
      <w:pPr>
        <w:pStyle w:val="style0"/>
        <w:tabs>
          <w:tab w:val="left" w:leader="none" w:pos="862"/>
          <w:tab w:val="left" w:leader="none" w:pos="1080"/>
          <w:tab w:val="left" w:leader="none" w:pos="144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四．规划思路</w:t>
      </w:r>
    </w:p>
    <w:p w14:paraId="D7AD8938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一是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着眼长远，</w:t>
      </w:r>
      <w:r>
        <w:rPr>
          <w:rFonts w:ascii="仿宋_GB2312" w:cs="仿宋_GB2312" w:eastAsia="仿宋_GB2312" w:hAnsi="仿宋_GB2312" w:hint="eastAsia"/>
          <w:sz w:val="32"/>
          <w:szCs w:val="32"/>
        </w:rPr>
        <w:t>高点定位。贯彻黄河流域生态保护与高质量发展理念，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积极融入国家战略，</w:t>
      </w:r>
      <w:r>
        <w:rPr>
          <w:rFonts w:ascii="仿宋_GB2312" w:cs="仿宋_GB2312" w:eastAsia="仿宋_GB2312" w:hAnsi="仿宋_GB2312" w:hint="eastAsia"/>
          <w:sz w:val="32"/>
          <w:szCs w:val="32"/>
        </w:rPr>
        <w:t>探索公共体育事业发展新模式。</w:t>
      </w:r>
    </w:p>
    <w:p w14:paraId="D8B7704A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二是全民健身，融合发展。突出全民健身与全民健康的融合发展，实施“体育+”行动，统筹与文化、旅游、教育、卫生、健康、养老等协调发展。</w:t>
      </w:r>
    </w:p>
    <w:p w14:paraId="7E5CE332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三是突出特色，差异配置。与济南“山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</w:t>
      </w:r>
      <w:r>
        <w:rPr>
          <w:rFonts w:ascii="仿宋_GB2312" w:cs="仿宋_GB2312" w:eastAsia="仿宋_GB2312" w:hAnsi="仿宋_GB2312" w:hint="eastAsia"/>
          <w:sz w:val="32"/>
          <w:szCs w:val="32"/>
        </w:rPr>
        <w:t>泉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</w:t>
      </w:r>
      <w:r>
        <w:rPr>
          <w:rFonts w:ascii="仿宋_GB2312" w:cs="仿宋_GB2312" w:eastAsia="仿宋_GB2312" w:hAnsi="仿宋_GB2312" w:hint="eastAsia"/>
          <w:sz w:val="32"/>
          <w:szCs w:val="32"/>
        </w:rPr>
        <w:t>湖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</w:t>
      </w:r>
      <w:r>
        <w:rPr>
          <w:rFonts w:ascii="仿宋_GB2312" w:cs="仿宋_GB2312" w:eastAsia="仿宋_GB2312" w:hAnsi="仿宋_GB2312" w:hint="eastAsia"/>
          <w:sz w:val="32"/>
          <w:szCs w:val="32"/>
        </w:rPr>
        <w:t>河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</w:t>
      </w:r>
      <w:r>
        <w:rPr>
          <w:rFonts w:ascii="仿宋_GB2312" w:cs="仿宋_GB2312" w:eastAsia="仿宋_GB2312" w:hAnsi="仿宋_GB2312" w:hint="eastAsia"/>
          <w:sz w:val="32"/>
          <w:szCs w:val="32"/>
        </w:rPr>
        <w:t>城”山水空间结构相融合，引导打造特色化体育设施场地；结合新老城区特点，明确差异化配置标准及场地类型。</w:t>
      </w:r>
    </w:p>
    <w:p w14:paraId="5D31B2C4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四是衔接规划，注重管控。对接济南市国土空间总体规划、济南市15分钟生活圈专项规划等相关规划，明确相关控制要素，并纳入“国土空间规划一张图”和数据库中。</w:t>
      </w:r>
    </w:p>
    <w:p w14:paraId="70D91977">
      <w:pPr>
        <w:pStyle w:val="style0"/>
        <w:tabs>
          <w:tab w:val="left" w:leader="none" w:pos="862"/>
          <w:tab w:val="left" w:leader="none" w:pos="1080"/>
          <w:tab w:val="left" w:leader="none" w:pos="144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五．规划目标</w:t>
      </w:r>
    </w:p>
    <w:p w14:paraId="EAE3A49A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构建符合行业发展趋势且具有济南特色的设施体系；助力济南</w:t>
      </w:r>
      <w:r>
        <w:rPr>
          <w:rFonts w:ascii="仿宋_GB2312" w:cs="仿宋_GB2312" w:eastAsia="仿宋_GB2312" w:hAnsi="仿宋_GB2312"/>
          <w:sz w:val="32"/>
          <w:szCs w:val="32"/>
        </w:rPr>
        <w:t>15</w:t>
      </w:r>
      <w:r>
        <w:rPr>
          <w:rFonts w:ascii="仿宋_GB2312" w:cs="仿宋_GB2312" w:eastAsia="仿宋_GB2312" w:hAnsi="仿宋_GB2312" w:hint="eastAsia"/>
          <w:sz w:val="32"/>
          <w:szCs w:val="32"/>
        </w:rPr>
        <w:t>分钟生活圈建设，形成济南人家门口的运动空间；强化优质资源辐射效能，提高规划弹性适应能力。打造体系健全、特色鲜明、基层完善的新时代社会主义现代化体育强市。</w:t>
      </w:r>
    </w:p>
    <w:p w14:paraId="12DD32BF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体育场地：规划期末（2035年）人均体育场地面积不低于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3.7</w:t>
      </w:r>
      <w:r>
        <w:rPr>
          <w:rFonts w:ascii="仿宋_GB2312" w:cs="仿宋_GB2312" w:eastAsia="仿宋_GB2312" w:hAnsi="仿宋_GB2312" w:hint="eastAsia"/>
          <w:sz w:val="32"/>
          <w:szCs w:val="32"/>
        </w:rPr>
        <w:t>平方米。</w:t>
      </w:r>
    </w:p>
    <w:p w14:paraId="2B82D986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体育用地：规划期末（2035年）人均体育用地0.7平方米。落实国标的基础上，指标结构向基层倾斜（便民性），同时保障省市级用地发展空间和弹性（特色化）。</w:t>
      </w:r>
    </w:p>
    <w:p w14:paraId="0D309E68">
      <w:pPr>
        <w:pStyle w:val="style0"/>
        <w:tabs>
          <w:tab w:val="left" w:leader="none" w:pos="862"/>
          <w:tab w:val="left" w:leader="none" w:pos="1080"/>
          <w:tab w:val="left" w:leader="none" w:pos="1440"/>
          <w:tab w:val="left" w:leader="none" w:pos="1626"/>
        </w:tabs>
        <w:spacing w:before="156" w:beforeLines="50" w:lineRule="auto" w:line="36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六．公共体育设施规划布局指引</w:t>
      </w:r>
    </w:p>
    <w:p w14:paraId="9ED046AB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考虑设施分级与行政管辖的关联性，便于落实责任主体，采用四级三类控制。</w:t>
      </w:r>
    </w:p>
    <w:p w14:paraId="AC7A51C4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四级：省市级、区级、街道级、居委级。三类：体育中心（一场三馆）、基层体育设施（全民健身活动中心、多功能运动场地）、其他体育设施（体育公园、综合健身场地、健身步道等）。</w:t>
      </w:r>
    </w:p>
    <w:p w14:paraId="BEF4885B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1</w:t>
      </w:r>
      <w:r>
        <w:rPr>
          <w:rFonts w:ascii="仿宋_GB2312" w:cs="仿宋_GB2312" w:eastAsia="仿宋_GB2312" w:hAnsi="仿宋_GB2312"/>
          <w:sz w:val="32"/>
          <w:szCs w:val="32"/>
        </w:rPr>
        <w:t>.</w:t>
      </w:r>
      <w:r>
        <w:rPr>
          <w:rFonts w:ascii="仿宋_GB2312" w:cs="仿宋_GB2312" w:eastAsia="仿宋_GB2312" w:hAnsi="仿宋_GB2312" w:hint="eastAsia"/>
          <w:sz w:val="32"/>
          <w:szCs w:val="32"/>
        </w:rPr>
        <w:t>省市级公共体育设施</w:t>
      </w:r>
    </w:p>
    <w:p w14:paraId="C2F8D070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在现状保留山东省体育中心、济南奥体中心等设施基础上，</w:t>
      </w:r>
      <w:r>
        <w:rPr>
          <w:rFonts w:ascii="仿宋_GB2312" w:cs="仿宋_GB2312" w:eastAsia="仿宋_GB2312" w:hAnsi="仿宋_GB2312"/>
          <w:sz w:val="32"/>
          <w:szCs w:val="32"/>
        </w:rPr>
        <w:t>规划新增黄河体育中心、雪野湖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体育训练基地</w:t>
      </w:r>
      <w:r>
        <w:rPr>
          <w:rFonts w:ascii="仿宋_GB2312" w:cs="仿宋_GB2312" w:eastAsia="仿宋_GB2312" w:hAnsi="仿宋_GB2312" w:hint="eastAsia"/>
          <w:sz w:val="32"/>
          <w:szCs w:val="32"/>
        </w:rPr>
        <w:t>、济南市青少年体育训练基地</w:t>
      </w:r>
      <w:r>
        <w:rPr>
          <w:rFonts w:ascii="仿宋_GB2312" w:cs="仿宋_GB2312" w:eastAsia="仿宋_GB2312" w:hAnsi="仿宋_GB2312"/>
          <w:sz w:val="32"/>
          <w:szCs w:val="32"/>
        </w:rPr>
        <w:t>。</w:t>
      </w:r>
    </w:p>
    <w:p w14:paraId="CB9CF328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2</w:t>
      </w:r>
      <w:r>
        <w:rPr>
          <w:rFonts w:ascii="仿宋_GB2312" w:cs="仿宋_GB2312" w:eastAsia="仿宋_GB2312" w:hAnsi="仿宋_GB2312"/>
          <w:sz w:val="32"/>
          <w:szCs w:val="32"/>
        </w:rPr>
        <w:t>.</w:t>
      </w:r>
      <w:r>
        <w:rPr>
          <w:rFonts w:ascii="仿宋_GB2312" w:cs="仿宋_GB2312" w:eastAsia="仿宋_GB2312" w:hAnsi="仿宋_GB2312" w:hint="eastAsia"/>
          <w:sz w:val="32"/>
          <w:szCs w:val="32"/>
        </w:rPr>
        <w:t>区级公共体育设施</w:t>
      </w:r>
    </w:p>
    <w:p w14:paraId="848DB323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各区县（功能区）包括至少一个体育场、一个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体育馆</w:t>
      </w:r>
      <w:r>
        <w:rPr>
          <w:rFonts w:ascii="仿宋_GB2312" w:cs="仿宋_GB2312" w:eastAsia="仿宋_GB2312" w:hAnsi="仿宋_GB2312" w:hint="eastAsia"/>
          <w:sz w:val="32"/>
          <w:szCs w:val="32"/>
        </w:rPr>
        <w:t>、一个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全民健身中心、一个游泳馆、一个体育公园</w:t>
      </w:r>
      <w:bookmarkStart w:id="2" w:name="OLE_LINK1"/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和一条健身步道</w:t>
      </w:r>
      <w:bookmarkEnd w:id="2"/>
      <w:r>
        <w:rPr>
          <w:rFonts w:ascii="仿宋_GB2312" w:cs="仿宋_GB2312" w:eastAsia="仿宋_GB2312" w:hAnsi="仿宋_GB2312" w:hint="eastAsia"/>
          <w:sz w:val="32"/>
          <w:szCs w:val="32"/>
        </w:rPr>
        <w:t>，并按照人均0</w:t>
      </w:r>
      <w:r>
        <w:rPr>
          <w:rFonts w:ascii="仿宋_GB2312" w:cs="仿宋_GB2312" w:eastAsia="仿宋_GB2312" w:hAnsi="仿宋_GB2312"/>
          <w:sz w:val="32"/>
          <w:szCs w:val="32"/>
        </w:rPr>
        <w:t>.1</w:t>
      </w:r>
      <w:r>
        <w:rPr>
          <w:rFonts w:ascii="仿宋_GB2312" w:cs="仿宋_GB2312" w:eastAsia="仿宋_GB2312" w:hAnsi="仿宋_GB2312" w:hint="eastAsia"/>
          <w:sz w:val="32"/>
          <w:szCs w:val="32"/>
        </w:rPr>
        <w:t>平米的体育用地面积进行总体控制。</w:t>
      </w:r>
    </w:p>
    <w:p w14:paraId="A7CA1F47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3</w:t>
      </w:r>
      <w:r>
        <w:rPr>
          <w:rFonts w:ascii="仿宋_GB2312" w:cs="仿宋_GB2312" w:eastAsia="仿宋_GB2312" w:hAnsi="仿宋_GB2312"/>
          <w:sz w:val="32"/>
          <w:szCs w:val="32"/>
        </w:rPr>
        <w:t>.</w:t>
      </w:r>
      <w:r>
        <w:rPr>
          <w:rFonts w:ascii="仿宋_GB2312" w:cs="仿宋_GB2312" w:eastAsia="仿宋_GB2312" w:hAnsi="仿宋_GB2312" w:hint="eastAsia"/>
          <w:sz w:val="32"/>
          <w:szCs w:val="32"/>
        </w:rPr>
        <w:t>街道级公共体育设施</w:t>
      </w:r>
    </w:p>
    <w:p w14:paraId="A9203A3E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各街道（乡镇）包括至少一个全民健身活动中心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</w:t>
      </w:r>
      <w:r>
        <w:rPr>
          <w:rFonts w:ascii="仿宋_GB2312" w:cs="仿宋_GB2312" w:eastAsia="仿宋_GB2312" w:hAnsi="仿宋_GB2312" w:hint="eastAsia"/>
          <w:sz w:val="32"/>
          <w:szCs w:val="32"/>
        </w:rPr>
        <w:t>一个多功能运动场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、一处体育公园，</w:t>
      </w:r>
      <w:r>
        <w:rPr>
          <w:rFonts w:ascii="仿宋_GB2312" w:cs="仿宋_GB2312" w:eastAsia="仿宋_GB2312" w:hAnsi="仿宋_GB2312" w:hint="eastAsia"/>
          <w:sz w:val="32"/>
          <w:szCs w:val="32"/>
        </w:rPr>
        <w:t>并按照人均0</w:t>
      </w:r>
      <w:r>
        <w:rPr>
          <w:rFonts w:ascii="仿宋_GB2312" w:cs="仿宋_GB2312" w:eastAsia="仿宋_GB2312" w:hAnsi="仿宋_GB2312"/>
          <w:sz w:val="32"/>
          <w:szCs w:val="32"/>
        </w:rPr>
        <w:t>.3</w:t>
      </w:r>
      <w:r>
        <w:rPr>
          <w:rFonts w:ascii="仿宋_GB2312" w:cs="仿宋_GB2312" w:eastAsia="仿宋_GB2312" w:hAnsi="仿宋_GB2312" w:hint="eastAsia"/>
          <w:sz w:val="32"/>
          <w:szCs w:val="32"/>
        </w:rPr>
        <w:t>平米的体育用地面积进行总体控制。</w:t>
      </w:r>
    </w:p>
    <w:p w14:paraId="E8384263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4</w:t>
      </w:r>
      <w:r>
        <w:rPr>
          <w:rFonts w:ascii="仿宋_GB2312" w:cs="仿宋_GB2312" w:eastAsia="仿宋_GB2312" w:hAnsi="仿宋_GB2312"/>
          <w:sz w:val="32"/>
          <w:szCs w:val="32"/>
        </w:rPr>
        <w:t>.</w:t>
      </w:r>
      <w:r>
        <w:rPr>
          <w:rFonts w:ascii="仿宋_GB2312" w:cs="仿宋_GB2312" w:eastAsia="仿宋_GB2312" w:hAnsi="仿宋_GB2312" w:hint="eastAsia"/>
          <w:sz w:val="32"/>
          <w:szCs w:val="32"/>
        </w:rPr>
        <w:t>居委级公共体育设施</w:t>
      </w:r>
    </w:p>
    <w:p w14:paraId="0C745241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各社区（行政村）级公共体育设施按照一个多功能运动场、一处室外综合健身场地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进行配置</w:t>
      </w:r>
      <w:bookmarkStart w:id="3" w:name="_GoBack"/>
      <w:bookmarkEnd w:id="3"/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。新建居住区要按室内人均建筑面积不低于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0.1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平方米或室外人均用地不低于</w:t>
      </w:r>
      <w:r>
        <w:rPr>
          <w:rFonts w:ascii="仿宋_GB2312" w:cs="仿宋_GB2312" w:eastAsia="仿宋_GB2312" w:hAnsi="仿宋_GB2312" w:hint="eastAsia"/>
          <w:sz w:val="32"/>
          <w:szCs w:val="32"/>
          <w:lang w:val="en-US" w:eastAsia="zh-CN"/>
        </w:rPr>
        <w:t>0.3</w:t>
      </w: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t>平方米的标准配建公共健身设施</w:t>
      </w:r>
    </w:p>
    <w:p w14:paraId="D03371F3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D8EF7F62">
      <w:pPr>
        <w:pStyle w:val="style0"/>
        <w:spacing w:lineRule="auto" w:line="360"/>
        <w:jc w:val="left"/>
        <w:rPr>
          <w:rFonts w:ascii="黑体" w:cs="黑体" w:eastAsia="黑体" w:hAnsi="黑体"/>
          <w:sz w:val="32"/>
          <w:szCs w:val="32"/>
        </w:rPr>
      </w:pPr>
      <w:r>
        <w:rPr>
          <w:rFonts w:ascii="黑体" w:cs="黑体" w:eastAsia="黑体" w:hAnsi="黑体" w:hint="eastAsia"/>
          <w:sz w:val="32"/>
          <w:szCs w:val="32"/>
        </w:rPr>
        <w:t>附件</w:t>
      </w:r>
    </w:p>
    <w:p w14:paraId="BC492176">
      <w:pPr>
        <w:pStyle w:val="style0"/>
        <w:spacing w:lineRule="auto" w:line="360"/>
        <w:jc w:val="left"/>
        <w:rPr>
          <w:rFonts w:ascii="仿宋_GB2312" w:cs="仿宋_GB2312" w:eastAsia="仿宋_GB2312" w:hAnsi="仿宋_GB2312"/>
          <w:sz w:val="32"/>
          <w:szCs w:val="32"/>
        </w:rPr>
      </w:pPr>
    </w:p>
    <w:p w14:paraId="C21AA712">
      <w:pPr>
        <w:pStyle w:val="style0"/>
        <w:numPr>
          <w:ilvl w:val="0"/>
          <w:numId w:val="1"/>
        </w:numPr>
        <w:spacing w:lineRule="auto" w:line="36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市域公共体育设施总体布局结构图</w:t>
      </w:r>
    </w:p>
    <w:p w14:paraId="6758FABB">
      <w:pPr>
        <w:pStyle w:val="style0"/>
        <w:numPr>
          <w:ilvl w:val="0"/>
          <w:numId w:val="1"/>
        </w:numPr>
        <w:spacing w:lineRule="auto" w:line="36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省市级公共体育设施布局规划图</w:t>
      </w:r>
    </w:p>
    <w:p w14:paraId="802D471D">
      <w:pPr>
        <w:pStyle w:val="style0"/>
        <w:numPr>
          <w:ilvl w:val="0"/>
          <w:numId w:val="1"/>
        </w:numPr>
        <w:spacing w:lineRule="auto" w:line="36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区级公共体育设施布局规划图</w:t>
      </w:r>
    </w:p>
    <w:p w14:paraId="EFD75383">
      <w:pPr>
        <w:pStyle w:val="style0"/>
        <w:numPr>
          <w:ilvl w:val="0"/>
          <w:numId w:val="1"/>
        </w:numPr>
        <w:spacing w:lineRule="auto" w:line="360"/>
        <w:jc w:val="left"/>
        <w:rPr>
          <w:rFonts w:ascii="仿宋_GB2312" w:cs="仿宋_GB2312" w:eastAsia="仿宋_GB2312" w:hAnsi="仿宋_GB2312"/>
          <w:sz w:val="32"/>
          <w:szCs w:val="32"/>
        </w:rPr>
      </w:pPr>
      <w:r>
        <w:rPr>
          <w:rFonts w:ascii="仿宋_GB2312" w:cs="仿宋_GB2312" w:eastAsia="仿宋_GB2312" w:hAnsi="仿宋_GB2312" w:hint="eastAsia"/>
          <w:sz w:val="32"/>
          <w:szCs w:val="32"/>
        </w:rPr>
        <w:t>街道级公共体育设施布局规划图</w:t>
      </w:r>
    </w:p>
    <w:p w14:paraId="B886FAA5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FD7C10A0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FA3C07E0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E62FCB46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D836C504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60EC672D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C12C700F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1A100DCE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F68A417C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A2E8E04C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AC07950B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78646751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98C6944E">
      <w:pPr>
        <w:pStyle w:val="style0"/>
        <w:tabs>
          <w:tab w:val="left" w:leader="none" w:pos="862"/>
          <w:tab w:val="left" w:leader="none" w:pos="1080"/>
        </w:tabs>
        <w:spacing w:lineRule="exact" w:line="560"/>
        <w:ind w:firstLine="640" w:firstLineChars="200"/>
        <w:jc w:val="left"/>
        <w:rPr>
          <w:rFonts w:ascii="仿宋_GB2312" w:cs="仿宋_GB2312" w:eastAsia="仿宋_GB2312" w:hAnsi="仿宋_GB2312" w:hint="eastAsia"/>
          <w:sz w:val="32"/>
          <w:szCs w:val="32"/>
        </w:rPr>
      </w:pPr>
    </w:p>
    <w:p w14:paraId="A0B858CB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drawing>
          <wp:inline distL="0" distT="0" distB="0" distR="0">
            <wp:extent cx="5722620" cy="8089265"/>
            <wp:effectExtent l="0" t="0" r="5080" b="635"/>
            <wp:docPr id="1027" name="图片 1" descr="市域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2620" cy="8089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E0E495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drawing>
          <wp:inline distL="0" distT="0" distB="0" distR="0">
            <wp:extent cx="5722620" cy="8089265"/>
            <wp:effectExtent l="0" t="0" r="5080" b="635"/>
            <wp:docPr id="1028" name="图片 2" descr="省市级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2620" cy="8089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517D09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</w:p>
    <w:p w14:paraId="5097C5AB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drawing>
          <wp:inline distL="0" distT="0" distB="0" distR="0">
            <wp:extent cx="5722620" cy="8089265"/>
            <wp:effectExtent l="0" t="0" r="5080" b="635"/>
            <wp:docPr id="1029" name="图片 3" descr="区级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2620" cy="8089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D9F1BD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</w:p>
    <w:p w14:paraId="CF0A040E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</w:p>
    <w:p w14:paraId="D41F1456">
      <w:pPr>
        <w:pStyle w:val="style0"/>
        <w:tabs>
          <w:tab w:val="left" w:leader="none" w:pos="862"/>
          <w:tab w:val="left" w:leader="none" w:pos="1080"/>
        </w:tabs>
        <w:spacing w:lineRule="auto" w:line="240"/>
        <w:ind w:firstLine="0" w:firstLineChars="0"/>
        <w:jc w:val="left"/>
        <w:rPr>
          <w:rFonts w:ascii="仿宋_GB2312" w:cs="仿宋_GB2312" w:eastAsia="仿宋_GB2312" w:hAnsi="仿宋_GB2312" w:hint="eastAsia"/>
          <w:sz w:val="32"/>
          <w:szCs w:val="32"/>
          <w:lang w:eastAsia="zh-CN"/>
        </w:rPr>
      </w:pPr>
      <w:r>
        <w:rPr>
          <w:rFonts w:ascii="仿宋_GB2312" w:cs="仿宋_GB2312" w:eastAsia="仿宋_GB2312" w:hAnsi="仿宋_GB2312" w:hint="eastAsia"/>
          <w:sz w:val="32"/>
          <w:szCs w:val="32"/>
          <w:lang w:eastAsia="zh-CN"/>
        </w:rPr>
        <w:drawing>
          <wp:inline distL="0" distT="0" distB="0" distR="0">
            <wp:extent cx="5722620" cy="8089265"/>
            <wp:effectExtent l="0" t="0" r="5080" b="635"/>
            <wp:docPr id="1030" name="图片 4" descr="街道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2620" cy="80892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w:type="default" r:id="rId11"/>
      <w:pgSz w:w="11906" w:h="16838" w:orient="portrait"/>
      <w:pgMar w:top="1440" w:right="1440" w:bottom="1843" w:left="1440" w:header="851" w:footer="992" w:gutter="0"/>
      <w:cols w:space="883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altName w:val="微软雅黑"/>
    <w:panose1 w:val="020b0503020002020204"/>
    <w:charset w:val="86"/>
    <w:family w:val="swiss"/>
    <w:pitch w:val="default"/>
    <w:sig w:usb0="80000287" w:usb1="2ACF3C50" w:usb2="00000016" w:usb3="00000000" w:csb0="0004001F" w:csb1="00000000"/>
  </w:font>
  <w:font w:name="Cambria">
    <w:altName w:val="Cambria"/>
    <w:panose1 w:val="02040503050004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002080304"/>
    <w:charset w:val="80"/>
    <w:family w:val="modern"/>
    <w:pitch w:val="default"/>
    <w:sig w:usb0="00000000" w:usb1="00000000" w:usb2="00000012" w:usb3="00000000" w:csb0="4002009F" w:csb1="DFD70000"/>
  </w:font>
  <w:font w:name="Yu Gothic UI">
    <w:altName w:val="Yu Gothic UI"/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仿宋">
    <w:altName w:val="仿宋"/>
    <w:panose1 w:val="020106090600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68079A2A">
    <w:pPr>
      <w:pStyle w:val="style32"/>
      <w:framePr w:wrap="around" w:hAnchor="margin" w:vAnchor="text" w:xAlign="center" w:y="1"/>
      <w:rPr>
        <w:rStyle w:val="style41"/>
      </w:rPr>
    </w:pPr>
    <w:r>
      <w:rPr/>
      <w:fldChar w:fldCharType="begin"/>
    </w:r>
    <w:r>
      <w:rPr>
        <w:rStyle w:val="style41"/>
      </w:rPr>
      <w:instrText xml:space="preserve">PAGE  </w:instrText>
    </w:r>
    <w:r>
      <w:rPr/>
      <w:fldChar w:fldCharType="end"/>
    </w:r>
  </w:p>
  <w:p w14:paraId="00CE10D7">
    <w:pPr>
      <w:pStyle w:val="style32"/>
      <w:ind w:right="360"/>
      <w:rPr/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16F59AD5">
    <w:pPr>
      <w:pStyle w:val="style32"/>
      <w:framePr w:wrap="around" w:hAnchor="margin" w:vAnchor="text" w:xAlign="center" w:y="1"/>
      <w:rPr>
        <w:rStyle w:val="style41"/>
      </w:rPr>
    </w:pPr>
    <w:r>
      <w:rPr/>
      <w:fldChar w:fldCharType="begin"/>
    </w:r>
    <w:r>
      <w:rPr>
        <w:rStyle w:val="style41"/>
      </w:rPr>
      <w:instrText xml:space="preserve">PAGE  </w:instrText>
    </w:r>
    <w:r>
      <w:rPr/>
      <w:fldChar w:fldCharType="separate"/>
    </w:r>
    <w:r>
      <w:rPr>
        <w:rStyle w:val="style41"/>
      </w:rPr>
      <w:t>1</w:t>
    </w:r>
    <w:r>
      <w:rPr/>
      <w:fldChar w:fldCharType="end"/>
    </w:r>
  </w:p>
  <w:p w14:paraId="E04523E4">
    <w:pPr>
      <w:pStyle w:val="style32"/>
      <w:framePr w:wrap="around" w:hAnchor="page" w:vAnchor="text" w:x="12112" w:yAlign="center"/>
      <w:rPr>
        <w:rStyle w:val="style41"/>
      </w:rPr>
    </w:pPr>
    <w:r>
      <w:rPr>
        <w:rStyle w:val="style41"/>
        <w:rFonts w:hint="eastAsia"/>
      </w:rPr>
      <w:t xml:space="preserve"> </w:t>
    </w:r>
  </w:p>
  <w:p w14:paraId="65D985E2">
    <w:pPr>
      <w:pStyle w:val="style32"/>
      <w:ind w:right="360"/>
      <w:rPr/>
    </w:pP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27381DAA"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BDB32B6B">
    <w:pPr>
      <w:pStyle w:val="style32"/>
      <w:ind w:firstLine="8550" w:firstLineChars="4750"/>
      <w:rPr/>
    </w:pP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7A301D20">
    <w:pPr>
      <w:pStyle w:val="style32"/>
      <w:jc w:val="center"/>
      <w:rPr/>
    </w:pPr>
    <w:r>
      <w:rPr/>
      <w:fldChar w:fldCharType="begin"/>
    </w:r>
    <w:r>
      <w:instrText>PAGE   \* MERGEFORMAT</w:instrText>
    </w:r>
    <w:r>
      <w:rPr/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 w14:paraId="122C18E8">
    <w:pPr>
      <w:pStyle w:val="style32"/>
      <w:ind w:right="36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600B1093">
    <w:pPr>
      <w:pStyle w:val="style31"/>
      <w:jc w:val="right"/>
      <w:rPr>
        <w:i/>
      </w:rPr>
    </w:pP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7B10AE3E">
    <w:pPr>
      <w:pStyle w:val="style31"/>
      <w:jc w:val="right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5FBCAE50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Times New Roman" w:cs="Times New Roman" w:eastAsia="宋体" w:hAnsi="Times New Roman"/>
      <w:kern w:val="2"/>
      <w:sz w:val="21"/>
      <w:szCs w:val="24"/>
      <w:lang w:val="en-US" w:bidi="ar-SA" w:eastAsia="zh-CN"/>
    </w:rPr>
  </w:style>
  <w:style w:type="paragraph" w:styleId="style1">
    <w:name w:val="heading 1"/>
    <w:basedOn w:val="style0"/>
    <w:next w:val="style0"/>
    <w:link w:val="style4117"/>
    <w:qFormat/>
    <w:uiPriority w:val="0"/>
    <w:pPr>
      <w:keepNext/>
      <w:keepLines/>
      <w:spacing w:beforeLines="50" w:lineRule="exact" w:line="320"/>
      <w:outlineLvl w:val="0"/>
    </w:pPr>
    <w:rPr>
      <w:rFonts w:ascii="黑体" w:eastAsia="黑体"/>
      <w:bCs/>
      <w:kern w:val="44"/>
      <w:sz w:val="28"/>
      <w:szCs w:val="44"/>
    </w:rPr>
  </w:style>
  <w:style w:type="paragraph" w:styleId="style2">
    <w:name w:val="heading 2"/>
    <w:basedOn w:val="style0"/>
    <w:next w:val="style0"/>
    <w:link w:val="style4098"/>
    <w:qFormat/>
    <w:uiPriority w:val="0"/>
    <w:pPr>
      <w:keepNext/>
      <w:keepLines/>
      <w:spacing w:beforeLines="50" w:lineRule="exact" w:line="320"/>
      <w:outlineLvl w:val="1"/>
    </w:pPr>
    <w:rPr>
      <w:rFonts w:ascii="黑体" w:eastAsia="黑体" w:hAnsi="Arial"/>
      <w:bCs/>
      <w:sz w:val="24"/>
      <w:szCs w:val="32"/>
    </w:rPr>
  </w:style>
  <w:style w:type="paragraph" w:styleId="style3">
    <w:name w:val="heading 3"/>
    <w:basedOn w:val="style0"/>
    <w:next w:val="style0"/>
    <w:link w:val="style4102"/>
    <w:qFormat/>
    <w:uiPriority w:val="0"/>
    <w:pPr>
      <w:keepNext/>
      <w:keepLines/>
      <w:spacing w:beforeLines="50" w:lineRule="exact" w:line="320"/>
      <w:outlineLvl w:val="2"/>
    </w:pPr>
    <w:rPr>
      <w:rFonts w:ascii="黑体" w:eastAsia="黑体"/>
      <w:bCs/>
      <w:sz w:val="24"/>
      <w:szCs w:val="32"/>
    </w:rPr>
  </w:style>
  <w:style w:type="paragraph" w:styleId="style4">
    <w:name w:val="heading 4"/>
    <w:basedOn w:val="style0"/>
    <w:next w:val="style0"/>
    <w:link w:val="style4107"/>
    <w:qFormat/>
    <w:uiPriority w:val="0"/>
    <w:pPr>
      <w:keepNext/>
      <w:keepLines/>
      <w:spacing w:beforeLines="50" w:lineRule="exact" w:line="320"/>
      <w:outlineLvl w:val="3"/>
    </w:pPr>
    <w:rPr>
      <w:rFonts w:ascii="黑体" w:eastAsia="黑体" w:hAnsi="Arial"/>
      <w:bCs/>
      <w:sz w:val="24"/>
      <w:szCs w:val="28"/>
    </w:rPr>
  </w:style>
  <w:style w:type="paragraph" w:styleId="style5">
    <w:name w:val="heading 5"/>
    <w:basedOn w:val="style0"/>
    <w:next w:val="style0"/>
    <w:link w:val="style4120"/>
    <w:qFormat/>
    <w:uiPriority w:val="0"/>
    <w:pPr>
      <w:keepNext/>
      <w:keepLines/>
      <w:spacing w:lineRule="auto" w:line="300"/>
      <w:ind w:firstLine="200" w:firstLineChars="200"/>
      <w:outlineLvl w:val="4"/>
    </w:pPr>
    <w:rPr>
      <w:bCs/>
      <w:sz w:val="24"/>
      <w:szCs w:val="28"/>
    </w:rPr>
  </w:style>
  <w:style w:type="paragraph" w:styleId="style6">
    <w:name w:val="heading 6"/>
    <w:basedOn w:val="style0"/>
    <w:next w:val="style0"/>
    <w:link w:val="style4113"/>
    <w:qFormat/>
    <w:uiPriority w:val="0"/>
    <w:pPr>
      <w:keepNext/>
      <w:keepLines/>
      <w:spacing w:before="240" w:after="64" w:lineRule="auto" w:line="317"/>
      <w:outlineLvl w:val="5"/>
    </w:pPr>
    <w:rPr>
      <w:rFonts w:ascii="Arial" w:eastAsia="黑体" w:hAnsi="Arial"/>
      <w:b/>
      <w:bCs/>
      <w:sz w:val="24"/>
    </w:rPr>
  </w:style>
  <w:style w:type="paragraph" w:styleId="style7">
    <w:name w:val="heading 7"/>
    <w:basedOn w:val="style0"/>
    <w:next w:val="style0"/>
    <w:link w:val="style4112"/>
    <w:qFormat/>
    <w:uiPriority w:val="0"/>
    <w:pPr>
      <w:keepNext/>
      <w:keepLines/>
      <w:spacing w:before="240" w:after="64" w:lineRule="auto" w:line="317"/>
      <w:outlineLvl w:val="6"/>
    </w:pPr>
    <w:rPr>
      <w:b/>
      <w:bCs/>
      <w:sz w:val="24"/>
    </w:rPr>
  </w:style>
  <w:style w:type="paragraph" w:styleId="style8">
    <w:name w:val="heading 8"/>
    <w:basedOn w:val="style0"/>
    <w:next w:val="style0"/>
    <w:link w:val="style4106"/>
    <w:qFormat/>
    <w:uiPriority w:val="0"/>
    <w:pPr>
      <w:keepNext/>
      <w:keepLines/>
      <w:spacing w:before="240" w:after="64" w:lineRule="auto" w:line="317"/>
      <w:outlineLvl w:val="7"/>
    </w:pPr>
    <w:rPr>
      <w:rFonts w:ascii="Arial" w:eastAsia="黑体" w:hAnsi="Arial"/>
      <w:sz w:val="24"/>
    </w:rPr>
  </w:style>
  <w:style w:type="paragraph" w:styleId="style9">
    <w:name w:val="heading 9"/>
    <w:basedOn w:val="style0"/>
    <w:next w:val="style0"/>
    <w:link w:val="style4119"/>
    <w:qFormat/>
    <w:uiPriority w:val="0"/>
    <w:pPr>
      <w:keepNext/>
      <w:keepLines/>
      <w:spacing w:before="240" w:after="64" w:lineRule="auto" w:line="317"/>
      <w:outlineLvl w:val="8"/>
    </w:pPr>
    <w:rPr>
      <w:rFonts w:ascii="Arial" w:eastAsia="黑体" w:hAnsi="Arial"/>
      <w:szCs w:val="21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25">
    <w:name w:val="toc 7"/>
    <w:basedOn w:val="style0"/>
    <w:next w:val="style0"/>
    <w:qFormat/>
    <w:uiPriority w:val="0"/>
    <w:pPr>
      <w:ind w:left="1260"/>
      <w:jc w:val="left"/>
    </w:pPr>
    <w:rPr>
      <w:szCs w:val="21"/>
    </w:rPr>
  </w:style>
  <w:style w:type="paragraph" w:styleId="style34">
    <w:name w:val="caption"/>
    <w:basedOn w:val="style0"/>
    <w:next w:val="style0"/>
    <w:qFormat/>
    <w:uiPriority w:val="0"/>
    <w:pPr>
      <w:spacing w:before="152" w:after="160"/>
    </w:pPr>
    <w:rPr>
      <w:rFonts w:ascii="Arial" w:cs="Arial" w:eastAsia="黑体" w:hAnsi="Arial"/>
      <w:sz w:val="20"/>
      <w:szCs w:val="20"/>
    </w:rPr>
  </w:style>
  <w:style w:type="paragraph" w:styleId="style89">
    <w:name w:val="Document Map"/>
    <w:basedOn w:val="style0"/>
    <w:next w:val="style89"/>
    <w:link w:val="style4103"/>
    <w:qFormat/>
    <w:uiPriority w:val="99"/>
    <w:pPr/>
    <w:rPr>
      <w:rFonts w:ascii="宋体"/>
      <w:sz w:val="18"/>
      <w:szCs w:val="18"/>
    </w:rPr>
  </w:style>
  <w:style w:type="paragraph" w:styleId="style81">
    <w:name w:val="Body Text 3"/>
    <w:basedOn w:val="style0"/>
    <w:next w:val="style81"/>
    <w:link w:val="style4108"/>
    <w:qFormat/>
    <w:uiPriority w:val="0"/>
    <w:pPr>
      <w:adjustRightInd w:val="false"/>
      <w:snapToGrid w:val="false"/>
      <w:spacing w:before="120" w:lineRule="exact" w:line="420"/>
    </w:pPr>
    <w:rPr>
      <w:sz w:val="24"/>
    </w:rPr>
  </w:style>
  <w:style w:type="paragraph" w:styleId="style66">
    <w:name w:val="Body Text"/>
    <w:basedOn w:val="style0"/>
    <w:next w:val="style66"/>
    <w:link w:val="style4111"/>
    <w:qFormat/>
    <w:uiPriority w:val="0"/>
    <w:pPr/>
    <w:rPr>
      <w:sz w:val="28"/>
    </w:rPr>
  </w:style>
  <w:style w:type="paragraph" w:styleId="style67">
    <w:name w:val="Body Text Indent"/>
    <w:basedOn w:val="style0"/>
    <w:next w:val="style67"/>
    <w:link w:val="style4123"/>
    <w:qFormat/>
    <w:uiPriority w:val="0"/>
    <w:pPr>
      <w:spacing w:lineRule="exact" w:line="500"/>
      <w:ind w:left="479" w:leftChars="228"/>
    </w:pPr>
    <w:rPr>
      <w:sz w:val="24"/>
    </w:rPr>
  </w:style>
  <w:style w:type="paragraph" w:styleId="style23">
    <w:name w:val="toc 5"/>
    <w:basedOn w:val="style0"/>
    <w:next w:val="style0"/>
    <w:qFormat/>
    <w:uiPriority w:val="0"/>
    <w:pPr>
      <w:ind w:left="840"/>
      <w:jc w:val="left"/>
    </w:pPr>
    <w:rPr>
      <w:szCs w:val="21"/>
    </w:rPr>
  </w:style>
  <w:style w:type="paragraph" w:styleId="style21">
    <w:name w:val="toc 3"/>
    <w:basedOn w:val="style0"/>
    <w:next w:val="style0"/>
    <w:qFormat/>
    <w:uiPriority w:val="39"/>
    <w:pPr>
      <w:ind w:left="420"/>
      <w:jc w:val="left"/>
    </w:pPr>
    <w:rPr>
      <w:i/>
      <w:iCs/>
    </w:rPr>
  </w:style>
  <w:style w:type="paragraph" w:styleId="style90">
    <w:name w:val="Plain Text"/>
    <w:basedOn w:val="style0"/>
    <w:next w:val="style90"/>
    <w:link w:val="style4097"/>
    <w:qFormat/>
    <w:uiPriority w:val="0"/>
    <w:pPr/>
    <w:rPr>
      <w:rFonts w:ascii="宋体" w:hAnsi="Courier New"/>
      <w:szCs w:val="21"/>
    </w:rPr>
  </w:style>
  <w:style w:type="paragraph" w:styleId="style26">
    <w:name w:val="toc 8"/>
    <w:basedOn w:val="style0"/>
    <w:next w:val="style0"/>
    <w:qFormat/>
    <w:uiPriority w:val="0"/>
    <w:pPr>
      <w:ind w:left="1470"/>
      <w:jc w:val="left"/>
    </w:pPr>
    <w:rPr>
      <w:szCs w:val="21"/>
    </w:rPr>
  </w:style>
  <w:style w:type="paragraph" w:styleId="style76">
    <w:name w:val="Date"/>
    <w:basedOn w:val="style0"/>
    <w:next w:val="style0"/>
    <w:link w:val="style4122"/>
    <w:qFormat/>
    <w:uiPriority w:val="0"/>
    <w:pPr>
      <w:ind w:left="100" w:leftChars="2500"/>
    </w:pPr>
    <w:rPr>
      <w:rFonts w:eastAsia="黑体"/>
      <w:sz w:val="28"/>
    </w:rPr>
  </w:style>
  <w:style w:type="paragraph" w:styleId="style82">
    <w:name w:val="Body Text Indent 2"/>
    <w:basedOn w:val="style0"/>
    <w:next w:val="style82"/>
    <w:link w:val="style4114"/>
    <w:qFormat/>
    <w:uiPriority w:val="0"/>
    <w:pPr>
      <w:spacing w:before="120"/>
      <w:ind w:firstLine="527"/>
    </w:pPr>
    <w:rPr>
      <w:rFonts w:ascii="宋体" w:hAnsi="宋体"/>
      <w:sz w:val="28"/>
    </w:rPr>
  </w:style>
  <w:style w:type="paragraph" w:styleId="style153">
    <w:name w:val="Balloon Text"/>
    <w:basedOn w:val="style0"/>
    <w:next w:val="style153"/>
    <w:link w:val="style4104"/>
    <w:qFormat/>
    <w:uiPriority w:val="0"/>
    <w:pPr/>
    <w:rPr>
      <w:sz w:val="18"/>
      <w:szCs w:val="18"/>
    </w:rPr>
  </w:style>
  <w:style w:type="paragraph" w:styleId="style32">
    <w:name w:val="footer"/>
    <w:basedOn w:val="style0"/>
    <w:next w:val="style32"/>
    <w:link w:val="style4110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100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19">
    <w:name w:val="toc 1"/>
    <w:basedOn w:val="style2"/>
    <w:next w:val="style0"/>
    <w:qFormat/>
    <w:uiPriority w:val="39"/>
    <w:pPr>
      <w:keepNext w:val="false"/>
      <w:keepLines w:val="false"/>
      <w:tabs>
        <w:tab w:val="right" w:leader="dot" w:pos="8296"/>
      </w:tabs>
      <w:spacing w:after="120" w:lineRule="auto" w:line="360"/>
      <w:jc w:val="left"/>
      <w:outlineLvl w:val="9"/>
    </w:pPr>
    <w:rPr>
      <w:rFonts w:ascii="Times New Roman" w:eastAsia="宋体" w:hAnsi="Times New Roman"/>
      <w:b/>
      <w:caps/>
      <w:sz w:val="21"/>
      <w:szCs w:val="24"/>
    </w:rPr>
  </w:style>
  <w:style w:type="paragraph" w:styleId="style22">
    <w:name w:val="toc 4"/>
    <w:basedOn w:val="style0"/>
    <w:next w:val="style0"/>
    <w:qFormat/>
    <w:uiPriority w:val="0"/>
    <w:pPr>
      <w:ind w:left="630"/>
      <w:jc w:val="left"/>
    </w:pPr>
    <w:rPr>
      <w:szCs w:val="21"/>
    </w:rPr>
  </w:style>
  <w:style w:type="paragraph" w:styleId="style24">
    <w:name w:val="toc 6"/>
    <w:basedOn w:val="style0"/>
    <w:next w:val="style0"/>
    <w:qFormat/>
    <w:uiPriority w:val="0"/>
    <w:pPr>
      <w:ind w:left="1050"/>
      <w:jc w:val="left"/>
    </w:pPr>
    <w:rPr>
      <w:szCs w:val="21"/>
    </w:rPr>
  </w:style>
  <w:style w:type="paragraph" w:styleId="style83">
    <w:name w:val="Body Text Indent 3"/>
    <w:basedOn w:val="style0"/>
    <w:next w:val="style83"/>
    <w:link w:val="style4105"/>
    <w:qFormat/>
    <w:uiPriority w:val="0"/>
    <w:pPr>
      <w:spacing w:before="240" w:after="120" w:lineRule="exact" w:line="420"/>
      <w:ind w:firstLine="420" w:firstLineChars="200"/>
    </w:pPr>
    <w:rPr>
      <w:rFonts w:ascii="宋体" w:hAnsi="宋体"/>
    </w:rPr>
  </w:style>
  <w:style w:type="paragraph" w:styleId="style20">
    <w:name w:val="toc 2"/>
    <w:basedOn w:val="style0"/>
    <w:next w:val="style0"/>
    <w:qFormat/>
    <w:uiPriority w:val="39"/>
    <w:pPr>
      <w:tabs>
        <w:tab w:val="left" w:leader="none" w:pos="1260"/>
        <w:tab w:val="right" w:leader="dot" w:pos="8296"/>
      </w:tabs>
      <w:ind w:left="210"/>
      <w:jc w:val="left"/>
    </w:pPr>
    <w:rPr>
      <w:rFonts w:ascii="黑体" w:eastAsia="黑体" w:hAnsi="宋体"/>
      <w:smallCaps/>
    </w:rPr>
  </w:style>
  <w:style w:type="paragraph" w:styleId="style27">
    <w:name w:val="toc 9"/>
    <w:basedOn w:val="style0"/>
    <w:next w:val="style0"/>
    <w:qFormat/>
    <w:uiPriority w:val="0"/>
    <w:pPr>
      <w:ind w:left="1680"/>
      <w:jc w:val="left"/>
    </w:pPr>
    <w:rPr>
      <w:szCs w:val="21"/>
    </w:rPr>
  </w:style>
  <w:style w:type="paragraph" w:styleId="style94">
    <w:name w:val="Normal (Web)"/>
    <w:basedOn w:val="style0"/>
    <w:next w:val="style94"/>
    <w:qFormat/>
    <w:uiPriority w:val="99"/>
    <w:pPr>
      <w:widowControl/>
      <w:spacing w:before="100" w:beforeAutospacing="true" w:after="100" w:afterAutospacing="true"/>
      <w:jc w:val="left"/>
    </w:pPr>
    <w:rPr>
      <w:rFonts w:ascii="宋体" w:hAnsi="宋体"/>
      <w:kern w:val="0"/>
      <w:sz w:val="24"/>
    </w:rPr>
  </w:style>
  <w:style w:type="table" w:styleId="style154">
    <w:name w:val="Table Grid"/>
    <w:basedOn w:val="style105"/>
    <w:next w:val="style154"/>
    <w:qFormat/>
    <w:uiPriority w:val="0"/>
    <w:pPr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55">
    <w:name w:val="Table Theme"/>
    <w:basedOn w:val="style105"/>
    <w:next w:val="style155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styleId="style192">
    <w:name w:val="Light Grid Accent 2"/>
    <w:basedOn w:val="style105"/>
    <w:next w:val="style192"/>
    <w:qFormat/>
    <w:uiPriority w:val="62"/>
    <w:pPr/>
    <w:rPr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Rule="auto" w:line="240"/>
      </w:pPr>
      <w:rPr>
        <w:rFonts w:cs="Times New Roman" w:eastAsia="Arial"/>
        <w:b/>
        <w:bCs/>
      </w:rPr>
      <w:tblPr/>
      <w:tcPr>
        <w:tcBorders>
          <w:tl2br w:val="nil"/>
          <w:tr2bl w:val="nil"/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Rule="auto" w:line="240"/>
      </w:pPr>
      <w:rPr>
        <w:rFonts w:cs="Times New Roman" w:eastAsia="Arial"/>
        <w:b/>
        <w:bCs/>
      </w:rPr>
      <w:tblPr/>
      <w:tcPr>
        <w:tcBorders>
          <w:tl2br w:val="nil"/>
          <w:tr2bl w:val="nil"/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band1Horz">
      <w:pPr/>
      <w:tblPr/>
      <w:tcPr>
        <w:tcBorders>
          <w:tl2br w:val="nil"/>
          <w:tr2bl w:val="nil"/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  <w:shd w:val="clear" w:color="auto" w:fill="efd3d2"/>
      </w:tcPr>
    </w:tblStylePr>
    <w:tblStylePr w:type="band2Horz">
      <w:pPr/>
      <w:tblPr/>
      <w:tcPr>
        <w:tcBorders>
          <w:tl2br w:val="nil"/>
          <w:tr2bl w:val="nil"/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pPr/>
      <w:rPr>
        <w:rFonts w:cs="Times New Roman" w:eastAsia="Arial"/>
        <w:b/>
        <w:bCs/>
      </w:rPr>
      <w:tcPr>
        <w:tcBorders/>
      </w:tcPr>
    </w:tblStylePr>
    <w:tblStylePr w:type="lastCol">
      <w:pPr/>
      <w:rPr>
        <w:rFonts w:cs="Times New Roman" w:eastAsia="Arial"/>
        <w:b/>
        <w:bCs/>
      </w:rPr>
      <w:tblPr/>
      <w:tcPr>
        <w:tcBorders>
          <w:tl2br w:val="nil"/>
          <w:tr2bl w:val="nil"/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nil"/>
        </w:tcBorders>
      </w:tcPr>
    </w:tblStylePr>
    <w:tblStylePr w:type="band1Vert">
      <w:pPr/>
      <w:tblPr/>
      <w:tcPr>
        <w:tcBorders>
          <w:tl2br w:val="nil"/>
          <w:tr2bl w:val="nil"/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nil"/>
        </w:tcBorders>
        <w:shd w:val="clear" w:color="auto" w:fill="efd3d2"/>
      </w:tcPr>
    </w:tblStylePr>
    <w:tcPr>
      <w:tcBorders/>
    </w:tc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41">
    <w:name w:val="page number"/>
    <w:basedOn w:val="style65"/>
    <w:next w:val="style41"/>
    <w:qFormat/>
    <w:uiPriority w:val="0"/>
  </w:style>
  <w:style w:type="character" w:styleId="style86">
    <w:name w:val="FollowedHyperlink"/>
    <w:next w:val="style86"/>
    <w:qFormat/>
    <w:uiPriority w:val="99"/>
    <w:rPr>
      <w:color w:val="800080"/>
      <w:u w:val="single"/>
    </w:rPr>
  </w:style>
  <w:style w:type="character" w:styleId="style85">
    <w:name w:val="Hyperlink"/>
    <w:next w:val="style85"/>
    <w:qFormat/>
    <w:uiPriority w:val="99"/>
    <w:rPr>
      <w:color w:val="0000ff"/>
      <w:u w:val="single"/>
    </w:rPr>
  </w:style>
  <w:style w:type="character" w:customStyle="1" w:styleId="style4097">
    <w:name w:val="纯文本 字符"/>
    <w:next w:val="style4097"/>
    <w:link w:val="style90"/>
    <w:qFormat/>
    <w:uiPriority w:val="0"/>
    <w:rPr>
      <w:rFonts w:ascii="宋体" w:cs="Courier New" w:hAnsi="Courier New"/>
      <w:kern w:val="2"/>
      <w:sz w:val="21"/>
      <w:szCs w:val="21"/>
    </w:rPr>
  </w:style>
  <w:style w:type="character" w:customStyle="1" w:styleId="style4098">
    <w:name w:val="标题 2 字符"/>
    <w:next w:val="style4098"/>
    <w:link w:val="style2"/>
    <w:qFormat/>
    <w:uiPriority w:val="0"/>
    <w:rPr>
      <w:rFonts w:ascii="黑体" w:eastAsia="黑体" w:hAnsi="Arial"/>
      <w:bCs/>
      <w:kern w:val="2"/>
      <w:sz w:val="24"/>
      <w:szCs w:val="32"/>
    </w:rPr>
  </w:style>
  <w:style w:type="character" w:customStyle="1" w:styleId="style4099">
    <w:name w:val="页脚 Char1"/>
    <w:next w:val="style4099"/>
    <w:qFormat/>
    <w:uiPriority w:val="99"/>
    <w:rPr>
      <w:rFonts w:ascii="Times New Roman" w:cs="Times New Roman" w:eastAsia="宋体" w:hAnsi="Times New Roman"/>
      <w:sz w:val="18"/>
      <w:szCs w:val="18"/>
    </w:rPr>
  </w:style>
  <w:style w:type="character" w:customStyle="1" w:styleId="style4100">
    <w:name w:val="页眉 字符"/>
    <w:next w:val="style4100"/>
    <w:link w:val="style31"/>
    <w:qFormat/>
    <w:uiPriority w:val="99"/>
    <w:rPr>
      <w:kern w:val="2"/>
      <w:sz w:val="18"/>
      <w:szCs w:val="18"/>
    </w:rPr>
  </w:style>
  <w:style w:type="character" w:customStyle="1" w:styleId="style4101">
    <w:name w:val="纯文本 Char1"/>
    <w:next w:val="style4101"/>
    <w:qFormat/>
    <w:uiPriority w:val="99"/>
    <w:rPr>
      <w:rFonts w:ascii="宋体" w:cs="Courier New" w:eastAsia="宋体" w:hAnsi="Courier New"/>
      <w:szCs w:val="21"/>
    </w:rPr>
  </w:style>
  <w:style w:type="character" w:customStyle="1" w:styleId="style4102">
    <w:name w:val="标题 3 字符"/>
    <w:next w:val="style4102"/>
    <w:link w:val="style3"/>
    <w:qFormat/>
    <w:uiPriority w:val="0"/>
    <w:rPr>
      <w:rFonts w:ascii="黑体" w:eastAsia="黑体"/>
      <w:bCs/>
      <w:kern w:val="2"/>
      <w:sz w:val="24"/>
      <w:szCs w:val="32"/>
    </w:rPr>
  </w:style>
  <w:style w:type="character" w:customStyle="1" w:styleId="style4103">
    <w:name w:val="文档结构图 字符"/>
    <w:next w:val="style4103"/>
    <w:link w:val="style89"/>
    <w:qFormat/>
    <w:uiPriority w:val="99"/>
    <w:rPr>
      <w:rFonts w:ascii="宋体"/>
      <w:kern w:val="2"/>
      <w:sz w:val="18"/>
      <w:szCs w:val="18"/>
    </w:rPr>
  </w:style>
  <w:style w:type="character" w:customStyle="1" w:styleId="style4104">
    <w:name w:val="批注框文本 字符"/>
    <w:next w:val="style4104"/>
    <w:link w:val="style153"/>
    <w:qFormat/>
    <w:uiPriority w:val="0"/>
    <w:rPr>
      <w:kern w:val="2"/>
      <w:sz w:val="18"/>
      <w:szCs w:val="18"/>
    </w:rPr>
  </w:style>
  <w:style w:type="character" w:customStyle="1" w:styleId="style4105">
    <w:name w:val="正文文本缩进 3 字符"/>
    <w:next w:val="style4105"/>
    <w:link w:val="style83"/>
    <w:qFormat/>
    <w:uiPriority w:val="0"/>
    <w:rPr>
      <w:rFonts w:ascii="宋体" w:hAnsi="宋体"/>
      <w:kern w:val="2"/>
      <w:sz w:val="21"/>
      <w:szCs w:val="24"/>
    </w:rPr>
  </w:style>
  <w:style w:type="character" w:customStyle="1" w:styleId="style4106">
    <w:name w:val="标题 8 字符"/>
    <w:next w:val="style4106"/>
    <w:link w:val="style8"/>
    <w:qFormat/>
    <w:uiPriority w:val="0"/>
    <w:rPr>
      <w:rFonts w:ascii="Arial" w:eastAsia="黑体" w:hAnsi="Arial"/>
      <w:kern w:val="2"/>
      <w:sz w:val="24"/>
      <w:szCs w:val="24"/>
    </w:rPr>
  </w:style>
  <w:style w:type="character" w:customStyle="1" w:styleId="style4107">
    <w:name w:val="标题 4 字符"/>
    <w:next w:val="style4107"/>
    <w:link w:val="style4"/>
    <w:qFormat/>
    <w:uiPriority w:val="0"/>
    <w:rPr>
      <w:rFonts w:ascii="黑体" w:eastAsia="黑体" w:hAnsi="Arial"/>
      <w:bCs/>
      <w:kern w:val="2"/>
      <w:sz w:val="24"/>
      <w:szCs w:val="28"/>
    </w:rPr>
  </w:style>
  <w:style w:type="character" w:customStyle="1" w:styleId="style4108">
    <w:name w:val="正文文本 3 字符"/>
    <w:next w:val="style4108"/>
    <w:link w:val="style81"/>
    <w:qFormat/>
    <w:uiPriority w:val="0"/>
    <w:rPr>
      <w:kern w:val="2"/>
      <w:sz w:val="24"/>
      <w:szCs w:val="24"/>
    </w:rPr>
  </w:style>
  <w:style w:type="character" w:customStyle="1" w:styleId="style4109">
    <w:name w:val="文档结构图 Char1"/>
    <w:next w:val="style4109"/>
    <w:qFormat/>
    <w:uiPriority w:val="99"/>
    <w:rPr>
      <w:rFonts w:ascii="宋体" w:cs="Times New Roman" w:eastAsia="宋体" w:hAnsi="Times New Roman"/>
      <w:sz w:val="18"/>
      <w:szCs w:val="18"/>
    </w:rPr>
  </w:style>
  <w:style w:type="character" w:customStyle="1" w:styleId="style4110">
    <w:name w:val="页脚 字符"/>
    <w:next w:val="style4110"/>
    <w:link w:val="style32"/>
    <w:qFormat/>
    <w:uiPriority w:val="99"/>
    <w:rPr>
      <w:kern w:val="2"/>
      <w:sz w:val="18"/>
      <w:szCs w:val="18"/>
    </w:rPr>
  </w:style>
  <w:style w:type="character" w:customStyle="1" w:styleId="style4111">
    <w:name w:val="正文文本 字符"/>
    <w:next w:val="style4111"/>
    <w:link w:val="style66"/>
    <w:qFormat/>
    <w:uiPriority w:val="0"/>
    <w:rPr>
      <w:kern w:val="2"/>
      <w:sz w:val="28"/>
      <w:szCs w:val="24"/>
    </w:rPr>
  </w:style>
  <w:style w:type="character" w:customStyle="1" w:styleId="style4112">
    <w:name w:val="标题 7 字符"/>
    <w:next w:val="style4112"/>
    <w:link w:val="style7"/>
    <w:qFormat/>
    <w:uiPriority w:val="0"/>
    <w:rPr>
      <w:b/>
      <w:bCs/>
      <w:kern w:val="2"/>
      <w:sz w:val="24"/>
      <w:szCs w:val="24"/>
    </w:rPr>
  </w:style>
  <w:style w:type="character" w:customStyle="1" w:styleId="style4113">
    <w:name w:val="标题 6 字符"/>
    <w:next w:val="style4113"/>
    <w:link w:val="style6"/>
    <w:qFormat/>
    <w:uiPriority w:val="0"/>
    <w:rPr>
      <w:rFonts w:ascii="Arial" w:eastAsia="黑体" w:hAnsi="Arial"/>
      <w:b/>
      <w:bCs/>
      <w:kern w:val="2"/>
      <w:sz w:val="24"/>
      <w:szCs w:val="24"/>
    </w:rPr>
  </w:style>
  <w:style w:type="character" w:customStyle="1" w:styleId="style4114">
    <w:name w:val="正文文本缩进 2 字符"/>
    <w:next w:val="style4114"/>
    <w:link w:val="style82"/>
    <w:qFormat/>
    <w:uiPriority w:val="0"/>
    <w:rPr>
      <w:rFonts w:ascii="宋体" w:hAnsi="宋体"/>
      <w:kern w:val="2"/>
      <w:sz w:val="28"/>
      <w:szCs w:val="24"/>
    </w:rPr>
  </w:style>
  <w:style w:type="character" w:customStyle="1" w:styleId="style4115">
    <w:name w:val="批注框文本 Char1"/>
    <w:next w:val="style4115"/>
    <w:qFormat/>
    <w:uiPriority w:val="99"/>
    <w:rPr>
      <w:rFonts w:ascii="Times New Roman" w:cs="Times New Roman" w:eastAsia="宋体" w:hAnsi="Times New Roman"/>
      <w:sz w:val="18"/>
      <w:szCs w:val="18"/>
    </w:rPr>
  </w:style>
  <w:style w:type="character" w:customStyle="1" w:styleId="style4116">
    <w:name w:val="t14"/>
    <w:basedOn w:val="style65"/>
    <w:next w:val="style4116"/>
    <w:qFormat/>
    <w:uiPriority w:val="0"/>
  </w:style>
  <w:style w:type="character" w:customStyle="1" w:styleId="style4117">
    <w:name w:val="标题 1 字符"/>
    <w:next w:val="style4117"/>
    <w:link w:val="style1"/>
    <w:qFormat/>
    <w:uiPriority w:val="0"/>
    <w:rPr>
      <w:rFonts w:ascii="黑体" w:eastAsia="黑体"/>
      <w:bCs/>
      <w:kern w:val="44"/>
      <w:sz w:val="28"/>
      <w:szCs w:val="44"/>
    </w:rPr>
  </w:style>
  <w:style w:type="character" w:customStyle="1" w:styleId="style4118">
    <w:name w:val="unnamed41"/>
    <w:next w:val="style4118"/>
    <w:qFormat/>
    <w:uiPriority w:val="0"/>
    <w:rPr>
      <w:rFonts w:ascii="ˎ̥" w:hAnsi="ˎ̥" w:hint="default"/>
      <w:color w:val="000000"/>
      <w:sz w:val="26"/>
      <w:szCs w:val="26"/>
      <w:u w:val="none"/>
    </w:rPr>
  </w:style>
  <w:style w:type="character" w:customStyle="1" w:styleId="style4119">
    <w:name w:val="标题 9 字符"/>
    <w:next w:val="style4119"/>
    <w:link w:val="style9"/>
    <w:qFormat/>
    <w:uiPriority w:val="0"/>
    <w:rPr>
      <w:rFonts w:ascii="Arial" w:eastAsia="黑体" w:hAnsi="Arial"/>
      <w:kern w:val="2"/>
      <w:sz w:val="21"/>
      <w:szCs w:val="21"/>
    </w:rPr>
  </w:style>
  <w:style w:type="character" w:customStyle="1" w:styleId="style4120">
    <w:name w:val="标题 5 字符"/>
    <w:next w:val="style4120"/>
    <w:link w:val="style5"/>
    <w:qFormat/>
    <w:uiPriority w:val="0"/>
    <w:rPr>
      <w:bCs/>
      <w:kern w:val="2"/>
      <w:sz w:val="24"/>
      <w:szCs w:val="28"/>
    </w:rPr>
  </w:style>
  <w:style w:type="character" w:customStyle="1" w:styleId="style4121">
    <w:name w:val="unnamed51"/>
    <w:next w:val="style4121"/>
    <w:qFormat/>
    <w:uiPriority w:val="0"/>
    <w:rPr>
      <w:rFonts w:hint="default"/>
      <w:color w:val="003300"/>
      <w:sz w:val="28"/>
      <w:szCs w:val="28"/>
      <w:u w:val="none"/>
    </w:rPr>
  </w:style>
  <w:style w:type="character" w:customStyle="1" w:styleId="style4122">
    <w:name w:val="日期 字符"/>
    <w:next w:val="style4122"/>
    <w:link w:val="style76"/>
    <w:qFormat/>
    <w:uiPriority w:val="0"/>
    <w:rPr>
      <w:rFonts w:eastAsia="黑体"/>
      <w:kern w:val="2"/>
      <w:sz w:val="28"/>
      <w:szCs w:val="24"/>
    </w:rPr>
  </w:style>
  <w:style w:type="character" w:customStyle="1" w:styleId="style4123">
    <w:name w:val="正文文本缩进 字符"/>
    <w:next w:val="style4123"/>
    <w:link w:val="style67"/>
    <w:qFormat/>
    <w:uiPriority w:val="0"/>
    <w:rPr>
      <w:kern w:val="2"/>
      <w:sz w:val="24"/>
      <w:szCs w:val="24"/>
    </w:rPr>
  </w:style>
  <w:style w:type="character" w:customStyle="1" w:styleId="style4124">
    <w:name w:val="页眉 Char1"/>
    <w:next w:val="style4124"/>
    <w:qFormat/>
    <w:uiPriority w:val="99"/>
    <w:rPr>
      <w:rFonts w:ascii="Times New Roman" w:cs="Times New Roman" w:eastAsia="宋体" w:hAnsi="Times New Roman"/>
      <w:sz w:val="18"/>
      <w:szCs w:val="18"/>
    </w:rPr>
  </w:style>
  <w:style w:type="paragraph" w:customStyle="1" w:styleId="style4125">
    <w:name w:val="Default"/>
    <w:next w:val="style4125"/>
    <w:qFormat/>
    <w:uiPriority w:val="0"/>
    <w:pPr>
      <w:widowControl w:val="false"/>
      <w:autoSpaceDE w:val="false"/>
      <w:autoSpaceDN w:val="false"/>
      <w:adjustRightInd w:val="false"/>
    </w:pPr>
    <w:rPr>
      <w:rFonts w:ascii="微软雅黑" w:cs="微软雅黑" w:eastAsia="微软雅黑" w:hAnsi="Times New Roman"/>
      <w:color w:val="000000"/>
      <w:sz w:val="24"/>
      <w:szCs w:val="24"/>
      <w:lang w:val="en-US" w:bidi="ar-SA" w:eastAsia="zh-CN"/>
    </w:rPr>
  </w:style>
  <w:style w:type="paragraph" w:customStyle="1" w:styleId="style4126">
    <w:name w:val="正文缩进1"/>
    <w:basedOn w:val="style0"/>
    <w:next w:val="style4126"/>
    <w:qFormat/>
    <w:uiPriority w:val="0"/>
    <w:pPr>
      <w:adjustRightInd w:val="false"/>
      <w:spacing w:lineRule="auto" w:line="360"/>
      <w:ind w:firstLine="480" w:firstLineChars="200"/>
      <w:textAlignment w:val="baseline"/>
    </w:pPr>
    <w:rPr>
      <w:rFonts w:hAnsi="宋体"/>
      <w:color w:val="0070c0"/>
      <w:kern w:val="0"/>
      <w:sz w:val="24"/>
    </w:rPr>
  </w:style>
  <w:style w:type="paragraph" w:customStyle="1" w:styleId="style4127">
    <w:name w:val="TOC 标题1"/>
    <w:basedOn w:val="style1"/>
    <w:next w:val="style0"/>
    <w:qFormat/>
    <w:uiPriority w:val="39"/>
    <w:pPr>
      <w:widowControl/>
      <w:spacing w:lineRule="auto" w:line="276"/>
      <w:jc w:val="left"/>
      <w:outlineLvl w:val="9"/>
    </w:pPr>
    <w:rPr>
      <w:rFonts w:ascii="Cambria" w:eastAsia="宋体" w:hAnsi="Cambria"/>
      <w:b/>
      <w:color w:val="365f91"/>
      <w:kern w:val="0"/>
      <w:szCs w:val="28"/>
    </w:rPr>
  </w:style>
  <w:style w:type="paragraph" w:customStyle="1" w:styleId="style4128">
    <w:name w:val="paragraph"/>
    <w:basedOn w:val="style0"/>
    <w:next w:val="style4128"/>
    <w:qFormat/>
    <w:uiPriority w:val="0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</w:rPr>
  </w:style>
  <w:style w:type="paragraph" w:customStyle="1" w:styleId="style4129">
    <w:name w:val="样式 正文 +"/>
    <w:basedOn w:val="style0"/>
    <w:next w:val="style4129"/>
    <w:qFormat/>
    <w:uiPriority w:val="0"/>
    <w:pPr>
      <w:spacing w:before="120" w:lineRule="exact" w:line="420"/>
      <w:ind w:left="1483" w:leftChars="706" w:firstLine="1"/>
    </w:pPr>
    <w:rPr>
      <w:rFonts w:cs="宋体"/>
      <w:szCs w:val="21"/>
    </w:rPr>
  </w:style>
  <w:style w:type="paragraph" w:customStyle="1" w:styleId="style4130">
    <w:name w:val="表格文字"/>
    <w:basedOn w:val="style0"/>
    <w:next w:val="style4130"/>
    <w:qFormat/>
    <w:uiPriority w:val="0"/>
    <w:pPr>
      <w:spacing w:lineRule="atLeast" w:line="240"/>
    </w:pPr>
    <w:rPr>
      <w:szCs w:val="21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table" w:customStyle="1" w:styleId="style4131">
    <w:name w:val="浅色网格 - 强调文字颜色 11"/>
    <w:basedOn w:val="style105"/>
    <w:next w:val="style4131"/>
    <w:qFormat/>
    <w:uiPriority w:val="62"/>
    <w:pPr/>
    <w:rPr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Rule="auto" w:line="240"/>
      </w:pPr>
      <w:rPr>
        <w:rFonts w:cs="Times New Roman" w:eastAsia="MS Mincho"/>
        <w:b/>
        <w:bCs/>
      </w:rPr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Rule="auto" w:line="240"/>
      </w:pPr>
      <w:rPr>
        <w:rFonts w:cs="Times New Roman" w:eastAsia="MS Mincho"/>
        <w:b/>
        <w:bCs/>
      </w:rPr>
      <w:tblPr/>
      <w:tcPr>
        <w:tcBorders>
          <w:tl2br w:val="nil"/>
          <w:tr2bl w:val="nil"/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band1Horz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  <w:shd w:val="clear" w:color="auto" w:fill="d3dfee"/>
      </w:tcPr>
    </w:tblStylePr>
    <w:tblStylePr w:type="band2Horz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pPr/>
      <w:rPr>
        <w:rFonts w:cs="Times New Roman" w:eastAsia="MS Mincho"/>
        <w:b/>
        <w:bCs/>
      </w:rPr>
      <w:tcPr>
        <w:tcBorders/>
      </w:tcPr>
    </w:tblStylePr>
    <w:tblStylePr w:type="lastCol">
      <w:pPr/>
      <w:rPr>
        <w:rFonts w:cs="Times New Roman" w:eastAsia="MS Mincho"/>
        <w:b/>
        <w:bCs/>
      </w:rPr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</w:tcBorders>
      </w:tcPr>
    </w:tblStylePr>
    <w:tblStylePr w:type="band1Vert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</w:tcBorders>
        <w:shd w:val="clear" w:color="auto" w:fill="d3dfee"/>
      </w:tcPr>
    </w:tblStylePr>
    <w:tcPr>
      <w:tcBorders/>
    </w:tcPr>
  </w:style>
  <w:style w:type="table" w:customStyle="1" w:styleId="style4132">
    <w:name w:val="浅色网格 - 强调文字颜色 111"/>
    <w:basedOn w:val="style105"/>
    <w:next w:val="style4132"/>
    <w:qFormat/>
    <w:uiPriority w:val="62"/>
    <w:pPr/>
    <w:rPr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Rule="auto" w:line="240"/>
      </w:pPr>
      <w:rPr>
        <w:rFonts w:cs="Times New Roman" w:eastAsia="Arial"/>
        <w:b/>
        <w:bCs/>
      </w:rPr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Rule="auto" w:line="240"/>
      </w:pPr>
      <w:rPr>
        <w:rFonts w:cs="Times New Roman" w:eastAsia="Arial"/>
        <w:b/>
        <w:bCs/>
      </w:rPr>
      <w:tblPr/>
      <w:tcPr>
        <w:tcBorders>
          <w:tl2br w:val="nil"/>
          <w:tr2bl w:val="nil"/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band1Horz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  <w:shd w:val="clear" w:color="auto" w:fill="d3dfee"/>
      </w:tcPr>
    </w:tblStylePr>
    <w:tblStylePr w:type="band2Horz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pPr/>
      <w:rPr>
        <w:rFonts w:cs="Times New Roman" w:eastAsia="Arial"/>
        <w:b/>
        <w:bCs/>
      </w:rPr>
      <w:tcPr>
        <w:tcBorders/>
      </w:tcPr>
    </w:tblStylePr>
    <w:tblStylePr w:type="lastCol">
      <w:pPr/>
      <w:rPr>
        <w:rFonts w:cs="Times New Roman" w:eastAsia="Arial"/>
        <w:b/>
        <w:bCs/>
      </w:rPr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</w:tcBorders>
      </w:tcPr>
    </w:tblStylePr>
    <w:tblStylePr w:type="band1Vert">
      <w:pPr/>
      <w:tblPr/>
      <w:tcPr>
        <w:tcBorders>
          <w:tl2br w:val="nil"/>
          <w:tr2bl w:val="nil"/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nil"/>
        </w:tcBorders>
        <w:shd w:val="clear" w:color="auto" w:fill="d3dfee"/>
      </w:tcPr>
    </w:tblStylePr>
    <w:tcPr>
      <w:tcBorders/>
    </w:tcPr>
  </w:style>
  <w:style w:type="table" w:customStyle="1" w:styleId="style4133">
    <w:name w:val="浅色列表1"/>
    <w:basedOn w:val="style105"/>
    <w:next w:val="style4133"/>
    <w:qFormat/>
    <w:uiPriority w:val="61"/>
    <w:pPr/>
    <w:rPr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l2br w:val="nil"/>
          <w:tr2bl w:val="nil"/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blStylePr w:type="band1Horz">
      <w:pPr/>
      <w:tblPr/>
      <w:tcPr>
        <w:tcBorders>
          <w:tl2br w:val="nil"/>
          <w:tr2bl w:val="nil"/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l2br w:val="nil"/>
          <w:tr2bl w:val="nil"/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cPr>
      <w:tcBorders/>
    </w:tcPr>
  </w:style>
  <w:style w:type="table" w:customStyle="1" w:styleId="style4134">
    <w:name w:val="浅色列表11"/>
    <w:basedOn w:val="style105"/>
    <w:next w:val="style4134"/>
    <w:qFormat/>
    <w:uiPriority w:val="61"/>
    <w:pPr/>
    <w:rPr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Rule="auto" w:line="240"/>
      </w:pPr>
      <w:rPr>
        <w:b/>
        <w:bCs/>
        <w:color w:val="ffffff"/>
      </w:rPr>
      <w:tblPr/>
      <w:tcPr>
        <w:tcBorders/>
        <w:shd w:val="clear" w:color="auto" w:fill="000000"/>
      </w:tcPr>
    </w:tblStylePr>
    <w:tblStylePr w:type="lastRow">
      <w:pPr>
        <w:spacing w:before="0" w:after="0" w:lineRule="auto" w:line="240"/>
      </w:pPr>
      <w:rPr>
        <w:b/>
        <w:bCs/>
      </w:rPr>
      <w:tblPr/>
      <w:tcPr>
        <w:tcBorders>
          <w:tl2br w:val="nil"/>
          <w:tr2bl w:val="nil"/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blStylePr w:type="band1Horz">
      <w:pPr/>
      <w:tblPr/>
      <w:tcPr>
        <w:tcBorders>
          <w:tl2br w:val="nil"/>
          <w:tr2bl w:val="nil"/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tl2br w:val="nil"/>
          <w:tr2bl w:val="nil"/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cBorders>
      </w:tcPr>
    </w:tblStylePr>
    <w:tcPr>
      <w:tcBorders/>
    </w:tcPr>
  </w:style>
  <w:style w:type="paragraph" w:customStyle="1" w:styleId="style4135">
    <w:name w:val="TOC 标题2"/>
    <w:basedOn w:val="style1"/>
    <w:next w:val="style0"/>
    <w:qFormat/>
    <w:uiPriority w:val="39"/>
    <w:pPr>
      <w:widowControl/>
      <w:spacing w:lineRule="auto" w:line="276"/>
      <w:jc w:val="left"/>
      <w:outlineLvl w:val="9"/>
    </w:pPr>
    <w:rPr>
      <w:rFonts w:ascii="Cambria" w:eastAsia="宋体" w:hAnsi="Cambria"/>
      <w:b/>
      <w:color w:val="365f91"/>
      <w:kern w:val="0"/>
      <w:szCs w:val="28"/>
    </w:rPr>
  </w:style>
  <w:style w:type="paragraph" w:customStyle="1" w:styleId="style4136">
    <w:name w:val="msonormal"/>
    <w:basedOn w:val="style0"/>
    <w:next w:val="style4136"/>
    <w:qFormat/>
    <w:uiPriority w:val="0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24"/>
    </w:rPr>
  </w:style>
  <w:style w:type="paragraph" w:customStyle="1" w:styleId="style4137">
    <w:name w:val="font5"/>
    <w:basedOn w:val="style0"/>
    <w:next w:val="style4137"/>
    <w:qFormat/>
    <w:uiPriority w:val="0"/>
    <w:pPr>
      <w:widowControl/>
      <w:spacing w:before="100" w:beforeAutospacing="true" w:after="100" w:afterAutospacing="true"/>
      <w:jc w:val="left"/>
    </w:pPr>
    <w:rPr>
      <w:rFonts w:ascii="宋体" w:cs="宋体" w:hAnsi="宋体"/>
      <w:kern w:val="0"/>
      <w:sz w:val="18"/>
      <w:szCs w:val="18"/>
    </w:rPr>
  </w:style>
  <w:style w:type="paragraph" w:customStyle="1" w:styleId="style4138">
    <w:name w:val="font6"/>
    <w:basedOn w:val="style0"/>
    <w:next w:val="style4138"/>
    <w:qFormat/>
    <w:uiPriority w:val="0"/>
    <w:pPr>
      <w:widowControl/>
      <w:spacing w:before="100" w:beforeAutospacing="true" w:after="100" w:afterAutospacing="true"/>
      <w:jc w:val="left"/>
    </w:pPr>
    <w:rPr>
      <w:rFonts w:ascii="Arial" w:cs="Arial" w:hAnsi="Arial"/>
      <w:color w:val="000000"/>
      <w:kern w:val="0"/>
      <w:sz w:val="22"/>
      <w:szCs w:val="22"/>
    </w:rPr>
  </w:style>
  <w:style w:type="paragraph" w:customStyle="1" w:styleId="style4139">
    <w:name w:val="font7"/>
    <w:basedOn w:val="style0"/>
    <w:next w:val="style4139"/>
    <w:qFormat/>
    <w:uiPriority w:val="0"/>
    <w:pPr>
      <w:widowControl/>
      <w:spacing w:before="100" w:beforeAutospacing="true" w:after="100" w:afterAutospacing="true"/>
      <w:jc w:val="left"/>
    </w:pPr>
    <w:rPr>
      <w:rFonts w:ascii="宋体" w:cs="宋体" w:hAnsi="宋体"/>
      <w:color w:val="000000"/>
      <w:kern w:val="0"/>
      <w:sz w:val="22"/>
      <w:szCs w:val="22"/>
    </w:rPr>
  </w:style>
  <w:style w:type="paragraph" w:customStyle="1" w:styleId="style4140">
    <w:name w:val="font8"/>
    <w:basedOn w:val="style0"/>
    <w:next w:val="style4140"/>
    <w:qFormat/>
    <w:uiPriority w:val="0"/>
    <w:pPr>
      <w:widowControl/>
      <w:spacing w:before="100" w:beforeAutospacing="true" w:after="100" w:afterAutospacing="true"/>
      <w:jc w:val="left"/>
    </w:pPr>
    <w:rPr>
      <w:rFonts w:ascii="Calibri" w:cs="宋体" w:hAnsi="Calibri"/>
      <w:color w:val="000000"/>
      <w:kern w:val="0"/>
      <w:sz w:val="22"/>
      <w:szCs w:val="22"/>
    </w:rPr>
  </w:style>
  <w:style w:type="paragraph" w:customStyle="1" w:styleId="style4141">
    <w:name w:val="xl65"/>
    <w:basedOn w:val="style0"/>
    <w:next w:val="style4141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宋体" w:cs="宋体" w:hAnsi="宋体"/>
      <w:kern w:val="0"/>
      <w:sz w:val="24"/>
    </w:rPr>
  </w:style>
  <w:style w:type="paragraph" w:customStyle="1" w:styleId="style4142">
    <w:name w:val="xl66"/>
    <w:basedOn w:val="style0"/>
    <w:next w:val="style4142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宋体" w:cs="宋体" w:hAnsi="宋体"/>
      <w:kern w:val="0"/>
      <w:sz w:val="24"/>
    </w:rPr>
  </w:style>
  <w:style w:type="paragraph" w:customStyle="1" w:styleId="style4143">
    <w:name w:val="xl67"/>
    <w:basedOn w:val="style0"/>
    <w:next w:val="style4143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宋体" w:cs="宋体" w:hAnsi="宋体"/>
      <w:kern w:val="0"/>
      <w:sz w:val="24"/>
    </w:rPr>
  </w:style>
  <w:style w:type="paragraph" w:customStyle="1" w:styleId="style4144">
    <w:name w:val="xl68"/>
    <w:basedOn w:val="style0"/>
    <w:next w:val="style4144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Calibri" w:cs="宋体" w:hAnsi="Calibri"/>
      <w:kern w:val="0"/>
      <w:sz w:val="24"/>
    </w:rPr>
  </w:style>
  <w:style w:type="paragraph" w:customStyle="1" w:styleId="style4145">
    <w:name w:val="xl69"/>
    <w:basedOn w:val="style0"/>
    <w:next w:val="style4145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Arial" w:cs="Arial" w:hAnsi="Arial"/>
      <w:kern w:val="0"/>
      <w:sz w:val="24"/>
    </w:rPr>
  </w:style>
  <w:style w:type="paragraph" w:customStyle="1" w:styleId="style4146">
    <w:name w:val="xl70"/>
    <w:basedOn w:val="style0"/>
    <w:next w:val="style4146"/>
    <w:qFormat/>
    <w:uiPriority w:val="0"/>
    <w:pPr>
      <w:widowControl/>
      <w:pBdr>
        <w:left w:val="single" w:sz="4" w:space="0" w:color="auto"/>
        <w:right w:val="single" w:sz="4" w:space="0" w:color="auto"/>
        <w:top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Arial" w:cs="Arial" w:hAnsi="Arial"/>
      <w:kern w:val="0"/>
      <w:sz w:val="24"/>
    </w:rPr>
  </w:style>
  <w:style w:type="paragraph" w:customStyle="1" w:styleId="style4147">
    <w:name w:val="xl71"/>
    <w:basedOn w:val="style0"/>
    <w:next w:val="style4147"/>
    <w:qFormat/>
    <w:uiPriority w:val="0"/>
    <w:pPr>
      <w:widowControl/>
      <w:pBdr>
        <w:left w:val="single" w:sz="4" w:space="0" w:color="auto"/>
        <w:right w:val="single" w:sz="4" w:space="0" w:color="auto"/>
        <w:bottom w:val="single" w:sz="4" w:space="0" w:color="auto"/>
      </w:pBdr>
      <w:spacing w:before="100" w:beforeAutospacing="true" w:after="100" w:afterAutospacing="true"/>
      <w:jc w:val="center"/>
      <w:textAlignment w:val="center"/>
    </w:pPr>
    <w:rPr>
      <w:rFonts w:ascii="Arial" w:cs="Arial" w:hAnsi="Arial"/>
      <w:kern w:val="0"/>
      <w:sz w:val="24"/>
    </w:rPr>
  </w:style>
  <w:style w:type="table" w:customStyle="1" w:styleId="style4148">
    <w:name w:val="网格型浅色1"/>
    <w:basedOn w:val="style105"/>
    <w:next w:val="style4148"/>
    <w:qFormat/>
    <w:uiPriority w:val="40"/>
    <w:pPr/>
    <w:rPr>
      <w:rFonts w:ascii="Calibri" w:cs="宋体" w:eastAsia="宋体" w:hAnsi="Calibri"/>
    </w:rPr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oter" Target="footer6.xml"/><Relationship Id="rId10" Type="http://schemas.openxmlformats.org/officeDocument/2006/relationships/image" Target="media/image4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9" Type="http://schemas.openxmlformats.org/officeDocument/2006/relationships/image" Target="media/image3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16" Type="http://schemas.openxmlformats.org/officeDocument/2006/relationships/customXml" Target="../customXml/item1.xml"/><Relationship Id="rId5" Type="http://schemas.openxmlformats.org/officeDocument/2006/relationships/header" Target="header4.xml"/><Relationship Id="rId6" Type="http://schemas.openxmlformats.org/officeDocument/2006/relationships/footer" Target="footer5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13372-FC4B-47E9-9EAC-28B90756E1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Words>1675</Words>
  <Pages>5</Pages>
  <Characters>1724</Characters>
  <Application>WPS Office</Application>
  <DocSecurity>0</DocSecurity>
  <Paragraphs>93</Paragraphs>
  <ScaleCrop>false</ScaleCrop>
  <Company>Microsoft</Company>
  <LinksUpToDate>false</LinksUpToDate>
  <CharactersWithSpaces>1726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2022-09-26T06:10:00Z</dcterms:created>
  <dc:creator>LCMZX</dc:creator>
  <lastModifiedBy>ALN-AL00</lastModifiedBy>
  <lastPrinted>2025-05-30T06:18:00Z</lastPrinted>
  <dcterms:modified xsi:type="dcterms:W3CDTF">2025-05-31T12:43:51Z</dcterms:modified>
  <revision>12</revision>
  <dc:title>控规成果规划阶段规划编制的若干问题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01159df855ee4565ab9a2570ea8e45bc_23</vt:lpwstr>
  </property>
</Properties>
</file>